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3836" w14:textId="77777777" w:rsidR="00E036ED" w:rsidRDefault="00646595" w:rsidP="00646595">
      <w:pPr>
        <w:pStyle w:val="Annexetitre"/>
        <w:spacing w:before="0"/>
        <w:ind w:firstLine="708"/>
      </w:pPr>
      <w:r w:rsidRPr="00E036ED">
        <w:t>PRÍLOHA XII – Pokyny na zverejňovanie ukazovateľa finančnej páky</w:t>
      </w:r>
    </w:p>
    <w:p w14:paraId="69E09F44" w14:textId="596509E3" w:rsidR="00646595" w:rsidRPr="00E036ED"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36DE40AA" w:rsidR="00646595" w:rsidRPr="00E036ED"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E036ED">
        <w:rPr>
          <w:rFonts w:ascii="Times New Roman" w:hAnsi="Times New Roman"/>
          <w:sz w:val="24"/>
        </w:rPr>
        <w:t>Vzor EU LR1 – LRSum: Zhrnutie zosúhlasenia účtovných aktív</w:t>
      </w:r>
      <w:r w:rsidR="00E036ED">
        <w:rPr>
          <w:rFonts w:ascii="Times New Roman" w:hAnsi="Times New Roman"/>
          <w:sz w:val="24"/>
        </w:rPr>
        <w:t xml:space="preserve"> a </w:t>
      </w:r>
      <w:r w:rsidRPr="00E036ED">
        <w:rPr>
          <w:rFonts w:ascii="Times New Roman" w:hAnsi="Times New Roman"/>
          <w:sz w:val="24"/>
        </w:rPr>
        <w:t xml:space="preserve">expozícií ukazovateľa finančnej páky. </w:t>
      </w:r>
      <w:r w:rsidRPr="00E036ED">
        <w:rPr>
          <w:rFonts w:ascii="Times New Roman" w:hAnsi="Times New Roman"/>
          <w:b w:val="0"/>
          <w:sz w:val="24"/>
        </w:rPr>
        <w:t>Vzor</w:t>
      </w:r>
      <w:r w:rsidR="00E036ED">
        <w:rPr>
          <w:rFonts w:ascii="Times New Roman" w:hAnsi="Times New Roman"/>
          <w:b w:val="0"/>
          <w:sz w:val="24"/>
        </w:rPr>
        <w:t xml:space="preserve"> s </w:t>
      </w:r>
      <w:r w:rsidRPr="00E036ED">
        <w:rPr>
          <w:rFonts w:ascii="Times New Roman" w:hAnsi="Times New Roman"/>
          <w:b w:val="0"/>
          <w:sz w:val="24"/>
        </w:rPr>
        <w:t>pevným formátom.</w:t>
      </w:r>
    </w:p>
    <w:p w14:paraId="69E09F46" w14:textId="644F4AC2" w:rsidR="00646595" w:rsidRPr="00E036ED" w:rsidRDefault="00646595" w:rsidP="00646595">
      <w:pPr>
        <w:pStyle w:val="ListParagraph"/>
        <w:numPr>
          <w:ilvl w:val="0"/>
          <w:numId w:val="6"/>
        </w:numPr>
        <w:spacing w:after="120"/>
        <w:ind w:left="426"/>
        <w:rPr>
          <w:rFonts w:ascii="Times New Roman" w:hAnsi="Times New Roman"/>
          <w:sz w:val="24"/>
          <w:szCs w:val="24"/>
        </w:rPr>
      </w:pPr>
      <w:r w:rsidRPr="00E036ED">
        <w:rPr>
          <w:rFonts w:ascii="Times New Roman" w:hAnsi="Times New Roman"/>
          <w:sz w:val="24"/>
        </w:rPr>
        <w:t>Inštitúcie uplatňujú pokyny uvedené</w:t>
      </w:r>
      <w:r w:rsidR="00E036ED">
        <w:rPr>
          <w:rFonts w:ascii="Times New Roman" w:hAnsi="Times New Roman"/>
          <w:sz w:val="24"/>
        </w:rPr>
        <w:t xml:space="preserve"> v </w:t>
      </w:r>
      <w:r w:rsidRPr="00E036ED">
        <w:rPr>
          <w:rFonts w:ascii="Times New Roman" w:hAnsi="Times New Roman"/>
          <w:sz w:val="24"/>
        </w:rPr>
        <w:t xml:space="preserve">tomto oddiele na vyplnenie vzoru EU LR1 – LRSum pri uplatňovaní článku 451 ods. 1 písm. b) nariadenia (EÚ) </w:t>
      </w:r>
      <w:r w:rsidR="00E036ED">
        <w:rPr>
          <w:rFonts w:ascii="Times New Roman" w:hAnsi="Times New Roman"/>
          <w:sz w:val="24"/>
        </w:rPr>
        <w:t>č. </w:t>
      </w:r>
      <w:r w:rsidRPr="00E036ED">
        <w:rPr>
          <w:rFonts w:ascii="Times New Roman" w:hAnsi="Times New Roman"/>
          <w:sz w:val="24"/>
        </w:rPr>
        <w:t>575/2013</w:t>
      </w:r>
      <w:r w:rsidRPr="00E036ED">
        <w:rPr>
          <w:rStyle w:val="FootnoteReference"/>
          <w:rFonts w:ascii="Times New Roman" w:hAnsi="Times New Roman"/>
        </w:rPr>
        <w:footnoteReference w:id="2"/>
      </w:r>
      <w:r w:rsidRPr="00E036ED">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E036ED"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10A0F796" w:rsidR="00646595" w:rsidRPr="00E036ED" w:rsidRDefault="00646595" w:rsidP="00E9371F">
            <w:pPr>
              <w:spacing w:after="120"/>
              <w:rPr>
                <w:rFonts w:ascii="Times New Roman" w:hAnsi="Times New Roman" w:cs="Times New Roman"/>
                <w:b/>
                <w:sz w:val="24"/>
              </w:rPr>
            </w:pPr>
            <w:r w:rsidRPr="00E036ED">
              <w:rPr>
                <w:rFonts w:ascii="Times New Roman" w:hAnsi="Times New Roman"/>
                <w:b/>
                <w:sz w:val="24"/>
              </w:rPr>
              <w:t>Odkazy na právne predpisy</w:t>
            </w:r>
            <w:r w:rsidR="00E036ED">
              <w:rPr>
                <w:rFonts w:ascii="Times New Roman" w:hAnsi="Times New Roman"/>
                <w:b/>
                <w:sz w:val="24"/>
              </w:rPr>
              <w:t xml:space="preserve"> a </w:t>
            </w:r>
            <w:r w:rsidRPr="00E036ED">
              <w:rPr>
                <w:rFonts w:ascii="Times New Roman" w:hAnsi="Times New Roman"/>
                <w:b/>
                <w:sz w:val="24"/>
              </w:rPr>
              <w:t>pokyny</w:t>
            </w:r>
          </w:p>
        </w:tc>
      </w:tr>
      <w:tr w:rsidR="002312DE" w:rsidRPr="00E036ED" w14:paraId="69E09F4B" w14:textId="77777777" w:rsidTr="5E9D3914">
        <w:trPr>
          <w:trHeight w:val="238"/>
        </w:trPr>
        <w:tc>
          <w:tcPr>
            <w:tcW w:w="1384" w:type="dxa"/>
            <w:shd w:val="clear" w:color="auto" w:fill="D9D9D9" w:themeFill="background1" w:themeFillShade="D9"/>
          </w:tcPr>
          <w:p w14:paraId="69E09F49" w14:textId="77777777" w:rsidR="00646595" w:rsidRPr="00E036ED" w:rsidRDefault="00646595" w:rsidP="00E9371F">
            <w:pPr>
              <w:autoSpaceDE w:val="0"/>
              <w:autoSpaceDN w:val="0"/>
              <w:adjustRightInd w:val="0"/>
              <w:spacing w:after="120"/>
              <w:rPr>
                <w:rFonts w:ascii="Times New Roman" w:hAnsi="Times New Roman" w:cs="Times New Roman"/>
                <w:b/>
                <w:sz w:val="24"/>
              </w:rPr>
            </w:pPr>
            <w:r w:rsidRPr="00E036ED">
              <w:rPr>
                <w:rFonts w:ascii="Times New Roman" w:hAnsi="Times New Roman"/>
                <w:b/>
                <w:sz w:val="24"/>
              </w:rPr>
              <w:t>Číslo riadku</w:t>
            </w:r>
          </w:p>
        </w:tc>
        <w:tc>
          <w:tcPr>
            <w:tcW w:w="7655" w:type="dxa"/>
            <w:shd w:val="clear" w:color="auto" w:fill="D9D9D9" w:themeFill="background1" w:themeFillShade="D9"/>
          </w:tcPr>
          <w:p w14:paraId="69E09F4A" w14:textId="77777777" w:rsidR="00646595" w:rsidRPr="00E036ED" w:rsidRDefault="00646595" w:rsidP="00E9371F">
            <w:pPr>
              <w:autoSpaceDE w:val="0"/>
              <w:autoSpaceDN w:val="0"/>
              <w:adjustRightInd w:val="0"/>
              <w:spacing w:after="120"/>
              <w:rPr>
                <w:rFonts w:ascii="Times New Roman" w:hAnsi="Times New Roman" w:cs="Times New Roman"/>
                <w:sz w:val="24"/>
              </w:rPr>
            </w:pPr>
            <w:r w:rsidRPr="00E036ED">
              <w:rPr>
                <w:rFonts w:ascii="Times New Roman" w:hAnsi="Times New Roman"/>
                <w:b/>
                <w:sz w:val="24"/>
              </w:rPr>
              <w:t>Vysvetlenie</w:t>
            </w:r>
          </w:p>
        </w:tc>
      </w:tr>
      <w:tr w:rsidR="002312DE" w:rsidRPr="00E036ED" w14:paraId="69E09F4F" w14:textId="77777777" w:rsidTr="5E9D3914">
        <w:trPr>
          <w:trHeight w:val="1419"/>
        </w:trPr>
        <w:tc>
          <w:tcPr>
            <w:tcW w:w="1384" w:type="dxa"/>
            <w:vAlign w:val="center"/>
          </w:tcPr>
          <w:p w14:paraId="69E09F4C"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w:t>
            </w:r>
          </w:p>
        </w:tc>
        <w:tc>
          <w:tcPr>
            <w:tcW w:w="7655" w:type="dxa"/>
          </w:tcPr>
          <w:p w14:paraId="69E09F4D"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Celkové aktíva podľa uverejnenej účtovnej závierky</w:t>
            </w:r>
          </w:p>
          <w:p w14:paraId="69E09F4E" w14:textId="38E7B56E"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celkové aktíva, ako boli uverejnené</w:t>
            </w:r>
            <w:r w:rsidR="00E036ED">
              <w:rPr>
                <w:rFonts w:ascii="Times New Roman" w:hAnsi="Times New Roman"/>
                <w:sz w:val="24"/>
              </w:rPr>
              <w:t xml:space="preserve"> v </w:t>
            </w:r>
            <w:r w:rsidRPr="00E036ED">
              <w:rPr>
                <w:rFonts w:ascii="Times New Roman" w:hAnsi="Times New Roman"/>
                <w:sz w:val="24"/>
              </w:rPr>
              <w:t>ich účtovnej závierke podľa uplatniteľného účtovného rámca</w:t>
            </w:r>
            <w:r w:rsidR="00E036ED">
              <w:rPr>
                <w:rFonts w:ascii="Times New Roman" w:hAnsi="Times New Roman"/>
                <w:sz w:val="24"/>
              </w:rPr>
              <w:t xml:space="preserve"> v </w:t>
            </w:r>
            <w:r w:rsidRPr="00E036ED">
              <w:rPr>
                <w:rFonts w:ascii="Times New Roman" w:hAnsi="Times New Roman"/>
                <w:sz w:val="24"/>
              </w:rPr>
              <w:t>zmysle vymedzenia</w:t>
            </w:r>
            <w:r w:rsidR="00E036ED">
              <w:rPr>
                <w:rFonts w:ascii="Times New Roman" w:hAnsi="Times New Roman"/>
                <w:sz w:val="24"/>
              </w:rPr>
              <w:t xml:space="preserve"> v </w:t>
            </w:r>
            <w:r w:rsidRPr="00E036ED">
              <w:rPr>
                <w:rFonts w:ascii="Times New Roman" w:hAnsi="Times New Roman"/>
                <w:sz w:val="24"/>
              </w:rPr>
              <w:t xml:space="preserve">článku 4 ods. 1 bode 77 nariadenia (EÚ) </w:t>
            </w:r>
            <w:r w:rsidR="00E036ED">
              <w:rPr>
                <w:rFonts w:ascii="Times New Roman" w:hAnsi="Times New Roman"/>
                <w:sz w:val="24"/>
              </w:rPr>
              <w:t>č. </w:t>
            </w:r>
            <w:r w:rsidRPr="00E036ED">
              <w:rPr>
                <w:rFonts w:ascii="Times New Roman" w:hAnsi="Times New Roman"/>
                <w:sz w:val="24"/>
              </w:rPr>
              <w:t>575/2013.</w:t>
            </w:r>
          </w:p>
        </w:tc>
      </w:tr>
      <w:tr w:rsidR="002312DE" w:rsidRPr="00E036ED" w14:paraId="69E09F54" w14:textId="77777777" w:rsidTr="5E9D3914">
        <w:trPr>
          <w:trHeight w:val="2265"/>
        </w:trPr>
        <w:tc>
          <w:tcPr>
            <w:tcW w:w="1384" w:type="dxa"/>
            <w:vAlign w:val="center"/>
          </w:tcPr>
          <w:p w14:paraId="69E09F50"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w:t>
            </w:r>
          </w:p>
        </w:tc>
        <w:tc>
          <w:tcPr>
            <w:tcW w:w="7655" w:type="dxa"/>
          </w:tcPr>
          <w:p w14:paraId="69E09F51"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Úprava týkajúca sa subjektov, ktoré sú konsolidované na účtovné účely, no sú mimo prudenciálneho rozsahu konsolidácie</w:t>
            </w:r>
          </w:p>
          <w:p w14:paraId="69E09F52" w14:textId="1A66F030"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rozdiel</w:t>
            </w:r>
            <w:r w:rsidR="00E036ED">
              <w:rPr>
                <w:rFonts w:ascii="Times New Roman" w:hAnsi="Times New Roman"/>
                <w:sz w:val="24"/>
              </w:rPr>
              <w:t xml:space="preserve"> v </w:t>
            </w:r>
            <w:r w:rsidRPr="00E036ED">
              <w:rPr>
                <w:rFonts w:ascii="Times New Roman" w:hAnsi="Times New Roman"/>
                <w:sz w:val="24"/>
              </w:rPr>
              <w:t>hodnote medzi veľkosťou celkovej expozície, ako je zverejnená</w:t>
            </w:r>
            <w:r w:rsidR="00E036ED">
              <w:rPr>
                <w:rFonts w:ascii="Times New Roman" w:hAnsi="Times New Roman"/>
                <w:sz w:val="24"/>
              </w:rPr>
              <w:t xml:space="preserve"> v </w:t>
            </w:r>
            <w:r w:rsidRPr="00E036ED">
              <w:rPr>
                <w:rFonts w:ascii="Times New Roman" w:hAnsi="Times New Roman"/>
                <w:sz w:val="24"/>
              </w:rPr>
              <w:t>riadku 13 vzoru EU LR1 – LRSum,</w:t>
            </w:r>
            <w:r w:rsidR="00E036ED">
              <w:rPr>
                <w:rFonts w:ascii="Times New Roman" w:hAnsi="Times New Roman"/>
                <w:sz w:val="24"/>
              </w:rPr>
              <w:t xml:space="preserve"> a </w:t>
            </w:r>
            <w:r w:rsidRPr="00E036ED">
              <w:rPr>
                <w:rFonts w:ascii="Times New Roman" w:hAnsi="Times New Roman"/>
                <w:sz w:val="24"/>
              </w:rPr>
              <w:t>celkovými účtovnými aktívami, ako sú zverejnené</w:t>
            </w:r>
            <w:r w:rsidR="00E036ED">
              <w:rPr>
                <w:rFonts w:ascii="Times New Roman" w:hAnsi="Times New Roman"/>
                <w:sz w:val="24"/>
              </w:rPr>
              <w:t xml:space="preserve"> v </w:t>
            </w:r>
            <w:r w:rsidRPr="00E036ED">
              <w:rPr>
                <w:rFonts w:ascii="Times New Roman" w:hAnsi="Times New Roman"/>
                <w:sz w:val="24"/>
              </w:rPr>
              <w:t>riadku 1 vzoru EU LR1 – LRSum, ktorý je výsledkom rozdielov medzi účtovným rozsahom konsolidácie</w:t>
            </w:r>
            <w:r w:rsidR="00E036ED">
              <w:rPr>
                <w:rFonts w:ascii="Times New Roman" w:hAnsi="Times New Roman"/>
                <w:sz w:val="24"/>
              </w:rPr>
              <w:t xml:space="preserve"> a </w:t>
            </w:r>
            <w:r w:rsidRPr="00E036ED">
              <w:rPr>
                <w:rFonts w:ascii="Times New Roman" w:hAnsi="Times New Roman"/>
                <w:sz w:val="24"/>
              </w:rPr>
              <w:t>prudenciálnym rozsahom konsolidácie.</w:t>
            </w:r>
          </w:p>
          <w:p w14:paraId="69E09F53" w14:textId="78D4BA3C"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 táto úprava vedie</w:t>
            </w:r>
            <w:r w:rsidR="00E036ED">
              <w:rPr>
                <w:rFonts w:ascii="Times New Roman" w:hAnsi="Times New Roman"/>
                <w:sz w:val="24"/>
              </w:rPr>
              <w:t xml:space="preserve"> k </w:t>
            </w:r>
            <w:r w:rsidRPr="00E036ED">
              <w:rPr>
                <w:rFonts w:ascii="Times New Roman" w:hAnsi="Times New Roman"/>
                <w:sz w:val="24"/>
              </w:rPr>
              <w:t>zväčšeniu expozície, inštitúcie to zverejňujú ako kladnú hodnotu. Ak táto úprava vedie</w:t>
            </w:r>
            <w:r w:rsidR="00E036ED">
              <w:rPr>
                <w:rFonts w:ascii="Times New Roman" w:hAnsi="Times New Roman"/>
                <w:sz w:val="24"/>
              </w:rPr>
              <w:t xml:space="preserve"> k </w:t>
            </w:r>
            <w:r w:rsidRPr="00E036ED">
              <w:rPr>
                <w:rFonts w:ascii="Times New Roman" w:hAnsi="Times New Roman"/>
                <w:sz w:val="24"/>
              </w:rPr>
              <w:t>zmenšeniu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5A" w14:textId="77777777" w:rsidTr="5E9D3914">
        <w:trPr>
          <w:trHeight w:val="567"/>
        </w:trPr>
        <w:tc>
          <w:tcPr>
            <w:tcW w:w="1384" w:type="dxa"/>
            <w:vAlign w:val="center"/>
          </w:tcPr>
          <w:p w14:paraId="69E09F55"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3</w:t>
            </w:r>
          </w:p>
        </w:tc>
        <w:tc>
          <w:tcPr>
            <w:tcW w:w="7655" w:type="dxa"/>
          </w:tcPr>
          <w:p w14:paraId="69E09F56" w14:textId="4F910FF6"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sekuritizované expozície, ktoré spĺňajú prevádzkové požiadavky na vykázanie prenosu rizika).</w:t>
            </w:r>
          </w:p>
          <w:p w14:paraId="69E09F57" w14:textId="15988F55"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color w:val="auto"/>
                <w:sz w:val="24"/>
              </w:rPr>
              <w:t xml:space="preserve">Článok 429a ods. 1 písm. m) nariadenia (EÚ) </w:t>
            </w:r>
            <w:r w:rsidR="00E036ED">
              <w:rPr>
                <w:rStyle w:val="TeksttreciPogrubienie"/>
                <w:rFonts w:ascii="Times New Roman" w:hAnsi="Times New Roman"/>
                <w:color w:val="auto"/>
                <w:sz w:val="24"/>
              </w:rPr>
              <w:t>č. </w:t>
            </w:r>
            <w:r w:rsidRPr="00E036ED">
              <w:rPr>
                <w:rStyle w:val="TeksttreciPogrubienie"/>
                <w:rFonts w:ascii="Times New Roman" w:hAnsi="Times New Roman"/>
                <w:color w:val="auto"/>
                <w:sz w:val="24"/>
              </w:rPr>
              <w:t>575/2013.</w:t>
            </w:r>
          </w:p>
          <w:p w14:paraId="69E09F58" w14:textId="0469E82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hodnotu sekuritizovaných expozícií</w:t>
            </w:r>
            <w:r w:rsidR="00E036ED">
              <w:rPr>
                <w:rFonts w:ascii="Times New Roman" w:hAnsi="Times New Roman"/>
                <w:sz w:val="24"/>
              </w:rPr>
              <w:t xml:space="preserve"> z </w:t>
            </w:r>
            <w:r w:rsidRPr="00E036ED">
              <w:rPr>
                <w:rFonts w:ascii="Times New Roman" w:hAnsi="Times New Roman"/>
                <w:sz w:val="24"/>
              </w:rPr>
              <w:t>tradičných sekuritizácií, ktoré spĺňajú podmienky pre prenos významného rizika stanovené</w:t>
            </w:r>
            <w:r w:rsidR="00E036ED">
              <w:rPr>
                <w:rFonts w:ascii="Times New Roman" w:hAnsi="Times New Roman"/>
                <w:sz w:val="24"/>
              </w:rPr>
              <w:t xml:space="preserve"> v </w:t>
            </w:r>
            <w:r w:rsidRPr="00E036ED">
              <w:rPr>
                <w:rFonts w:ascii="Times New Roman" w:hAnsi="Times New Roman"/>
                <w:sz w:val="24"/>
              </w:rPr>
              <w:t xml:space="preserve">článku 244 ods. 2 nariadenia (EÚ) </w:t>
            </w:r>
            <w:r w:rsidR="00E036ED">
              <w:rPr>
                <w:rFonts w:ascii="Times New Roman" w:hAnsi="Times New Roman"/>
                <w:sz w:val="24"/>
              </w:rPr>
              <w:t>č. </w:t>
            </w:r>
            <w:r w:rsidRPr="00E036ED">
              <w:rPr>
                <w:rFonts w:ascii="Times New Roman" w:hAnsi="Times New Roman"/>
                <w:sz w:val="24"/>
              </w:rPr>
              <w:t>575/2013.</w:t>
            </w:r>
          </w:p>
          <w:p w14:paraId="69E09F59" w14:textId="42B96A9E"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Fonts w:ascii="Times New Roman" w:hAnsi="Times New Roman"/>
                <w:sz w:val="24"/>
              </w:rPr>
              <w:t>Keďže táto úprava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60" w14:textId="77777777" w:rsidTr="5E9D3914">
        <w:trPr>
          <w:trHeight w:val="850"/>
        </w:trPr>
        <w:tc>
          <w:tcPr>
            <w:tcW w:w="1384" w:type="dxa"/>
            <w:vAlign w:val="center"/>
          </w:tcPr>
          <w:p w14:paraId="69E09F5B"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4</w:t>
            </w:r>
          </w:p>
        </w:tc>
        <w:tc>
          <w:tcPr>
            <w:tcW w:w="7655" w:type="dxa"/>
          </w:tcPr>
          <w:p w14:paraId="69E09F5C" w14:textId="225C815D"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dočasnú výnimku pre expozície voči centrálnym bankám (ak je to relevantné)]</w:t>
            </w:r>
          </w:p>
          <w:p w14:paraId="69E09F5D" w14:textId="0A846C24"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 xml:space="preserve">Článok 429a ods. 1 písm. n) </w:t>
            </w:r>
            <w:r w:rsidRPr="00E036ED">
              <w:rPr>
                <w:rFonts w:ascii="Times New Roman" w:hAnsi="Times New Roman"/>
                <w:b/>
                <w:sz w:val="24"/>
              </w:rPr>
              <w:t xml:space="preserve">nariadenia (EÚ) </w:t>
            </w:r>
            <w:r w:rsidR="00E036ED">
              <w:rPr>
                <w:rFonts w:ascii="Times New Roman" w:hAnsi="Times New Roman"/>
                <w:b/>
                <w:sz w:val="24"/>
              </w:rPr>
              <w:t>č. </w:t>
            </w:r>
            <w:r w:rsidRPr="00E036ED">
              <w:rPr>
                <w:rFonts w:ascii="Times New Roman" w:hAnsi="Times New Roman"/>
                <w:b/>
                <w:sz w:val="24"/>
              </w:rPr>
              <w:t>575/2013</w:t>
            </w:r>
            <w:r w:rsidRPr="00E036ED">
              <w:rPr>
                <w:rStyle w:val="TeksttreciPogrubienie"/>
                <w:rFonts w:ascii="Times New Roman" w:hAnsi="Times New Roman"/>
                <w:b w:val="0"/>
                <w:color w:val="auto"/>
                <w:sz w:val="24"/>
              </w:rPr>
              <w:t>.</w:t>
            </w:r>
          </w:p>
          <w:p w14:paraId="69E09F5E" w14:textId="3C388365"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color w:val="auto"/>
                <w:sz w:val="24"/>
              </w:rPr>
              <w:t>Ak je to uplatniteľné, inštitúcie zverejňujú množstvo mincí</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bankoviek tvoriacich zákonnú menu</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jurisdikcii centrálnej banky</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aktíva predstavujúce pohľadávky voči centrálnej banke vrátane rezerv držaných</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 xml:space="preserve">centrálnej banke. Tieto expozície môžu byť dočasne vyňaté za </w:t>
            </w:r>
            <w:r w:rsidRPr="00E036ED">
              <w:rPr>
                <w:rStyle w:val="TeksttreciPogrubienie"/>
                <w:rFonts w:ascii="Times New Roman" w:hAnsi="Times New Roman"/>
                <w:color w:val="auto"/>
                <w:sz w:val="24"/>
              </w:rPr>
              <w:lastRenderedPageBreak/>
              <w:t>podmienok uvedených</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článku 429a ods. 5</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 xml:space="preserve">6 nariadenia (EÚ) </w:t>
            </w:r>
            <w:r w:rsidR="00E036ED">
              <w:rPr>
                <w:rStyle w:val="TeksttreciPogrubienie"/>
                <w:rFonts w:ascii="Times New Roman" w:hAnsi="Times New Roman"/>
                <w:color w:val="auto"/>
                <w:sz w:val="24"/>
              </w:rPr>
              <w:t>č. </w:t>
            </w:r>
            <w:r w:rsidRPr="00E036ED">
              <w:rPr>
                <w:rStyle w:val="TeksttreciPogrubienie"/>
                <w:rFonts w:ascii="Times New Roman" w:hAnsi="Times New Roman"/>
                <w:color w:val="auto"/>
                <w:sz w:val="24"/>
              </w:rPr>
              <w:t>575/2013.</w:t>
            </w:r>
          </w:p>
          <w:p w14:paraId="69E09F5F" w14:textId="20C3657B"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E036ED">
              <w:rPr>
                <w:rFonts w:ascii="Times New Roman" w:hAnsi="Times New Roman"/>
                <w:sz w:val="24"/>
              </w:rPr>
              <w:t>Keďže táto úprava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r w:rsidRPr="00E036ED">
              <w:rPr>
                <w:rStyle w:val="TeksttreciPogrubienie"/>
                <w:rFonts w:ascii="Times New Roman" w:hAnsi="Times New Roman"/>
                <w:color w:val="auto"/>
                <w:sz w:val="24"/>
              </w:rPr>
              <w:t xml:space="preserve"> </w:t>
            </w:r>
          </w:p>
        </w:tc>
      </w:tr>
      <w:tr w:rsidR="002312DE" w:rsidRPr="00E036ED" w14:paraId="69E09F65" w14:textId="77777777" w:rsidTr="5E9D3914">
        <w:trPr>
          <w:trHeight w:val="2265"/>
        </w:trPr>
        <w:tc>
          <w:tcPr>
            <w:tcW w:w="1384" w:type="dxa"/>
            <w:vAlign w:val="center"/>
          </w:tcPr>
          <w:p w14:paraId="69E09F61"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5</w:t>
            </w:r>
          </w:p>
        </w:tc>
        <w:tc>
          <w:tcPr>
            <w:tcW w:w="7655" w:type="dxa"/>
          </w:tcPr>
          <w:p w14:paraId="69E09F62" w14:textId="78AECEBF" w:rsidR="00646595" w:rsidRPr="00E036E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fiduciárne aktíva vykazované</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súvahe podľa uplatniteľného účtovného rámca, no vylúčené</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veľkosti celkovej expozície</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súlade</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článkom 429a ods. 1 písm. i) CRR]</w:t>
            </w:r>
          </w:p>
          <w:p w14:paraId="69E09F63" w14:textId="56EF7AED"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hodnotu fiduciárnych položiek, ktorých vykazovanie sa ukončilo,</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i) nariadenia (EÚ) </w:t>
            </w:r>
            <w:r w:rsidR="00E036ED">
              <w:rPr>
                <w:rFonts w:ascii="Times New Roman" w:hAnsi="Times New Roman"/>
                <w:sz w:val="24"/>
              </w:rPr>
              <w:t>č. </w:t>
            </w:r>
            <w:r w:rsidRPr="00E036ED">
              <w:rPr>
                <w:rFonts w:ascii="Times New Roman" w:hAnsi="Times New Roman"/>
                <w:sz w:val="24"/>
              </w:rPr>
              <w:t>575/2013.</w:t>
            </w:r>
          </w:p>
          <w:p w14:paraId="69E09F64" w14:textId="4B335D6E"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táto úprava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6E" w14:textId="77777777" w:rsidTr="5E9D3914">
        <w:trPr>
          <w:trHeight w:val="1559"/>
        </w:trPr>
        <w:tc>
          <w:tcPr>
            <w:tcW w:w="1384" w:type="dxa"/>
            <w:vAlign w:val="center"/>
          </w:tcPr>
          <w:p w14:paraId="69E09F66"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6</w:t>
            </w:r>
          </w:p>
        </w:tc>
        <w:tc>
          <w:tcPr>
            <w:tcW w:w="7655" w:type="dxa"/>
          </w:tcPr>
          <w:p w14:paraId="69E09F67" w14:textId="47552F31"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bežné nákupy</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predaje finančných aktív podliehajúcich účtovaniu</w:t>
            </w:r>
            <w:r w:rsidR="00E036ED">
              <w:rPr>
                <w:rStyle w:val="TeksttreciPogrubienie"/>
                <w:rFonts w:ascii="Times New Roman" w:hAnsi="Times New Roman"/>
                <w:color w:val="auto"/>
                <w:sz w:val="24"/>
              </w:rPr>
              <w:t xml:space="preserve"> k </w:t>
            </w:r>
            <w:r w:rsidRPr="00E036ED">
              <w:rPr>
                <w:rStyle w:val="TeksttreciPogrubienie"/>
                <w:rFonts w:ascii="Times New Roman" w:hAnsi="Times New Roman"/>
                <w:color w:val="auto"/>
                <w:sz w:val="24"/>
              </w:rPr>
              <w:t>dátumu uzatvorenia obchodu</w:t>
            </w:r>
          </w:p>
          <w:p w14:paraId="69E09F68" w14:textId="403BC9C1" w:rsidR="00646595" w:rsidRPr="00E036E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Článok 429g ods. 1</w:t>
            </w:r>
            <w:r w:rsidR="00E036ED">
              <w:rPr>
                <w:rFonts w:ascii="Times New Roman" w:hAnsi="Times New Roman"/>
                <w:sz w:val="24"/>
              </w:rPr>
              <w:t xml:space="preserve"> a </w:t>
            </w:r>
            <w:r w:rsidRPr="00E036ED">
              <w:rPr>
                <w:rFonts w:ascii="Times New Roman" w:hAnsi="Times New Roman"/>
                <w:sz w:val="24"/>
              </w:rPr>
              <w:t xml:space="preserve">2 nariadenia (EÚ) </w:t>
            </w:r>
            <w:r w:rsidR="00E036ED">
              <w:rPr>
                <w:rFonts w:ascii="Times New Roman" w:hAnsi="Times New Roman"/>
                <w:sz w:val="24"/>
              </w:rPr>
              <w:t>č. </w:t>
            </w:r>
            <w:r w:rsidRPr="00E036ED">
              <w:rPr>
                <w:rFonts w:ascii="Times New Roman" w:hAnsi="Times New Roman"/>
                <w:sz w:val="24"/>
              </w:rPr>
              <w:t>575/2013.</w:t>
            </w:r>
          </w:p>
          <w:p w14:paraId="69E09F69" w14:textId="35A707AD" w:rsidR="00646595" w:rsidRPr="00E036ED" w:rsidRDefault="00646595" w:rsidP="17C07D06">
            <w:pPr>
              <w:tabs>
                <w:tab w:val="left" w:pos="400"/>
              </w:tabs>
              <w:spacing w:after="120"/>
              <w:jc w:val="both"/>
              <w:rPr>
                <w:rFonts w:ascii="Times New Roman" w:hAnsi="Times New Roman" w:cs="Times New Roman"/>
                <w:sz w:val="24"/>
              </w:rPr>
            </w:pPr>
            <w:r w:rsidRPr="00E036ED">
              <w:rPr>
                <w:rFonts w:ascii="Times New Roman" w:hAnsi="Times New Roman"/>
                <w:sz w:val="24"/>
              </w:rPr>
              <w:t>Inštitúcie zverejňujú úpravu účtovnej hodnoty</w:t>
            </w:r>
            <w:r w:rsidR="00E036ED">
              <w:rPr>
                <w:rFonts w:ascii="Times New Roman" w:hAnsi="Times New Roman"/>
                <w:sz w:val="24"/>
              </w:rPr>
              <w:t xml:space="preserve"> v </w:t>
            </w:r>
            <w:r w:rsidRPr="00E036ED">
              <w:rPr>
                <w:rFonts w:ascii="Times New Roman" w:hAnsi="Times New Roman"/>
                <w:sz w:val="24"/>
              </w:rPr>
              <w:t>súvislosti</w:t>
            </w:r>
            <w:r w:rsidR="00E036ED">
              <w:rPr>
                <w:rFonts w:ascii="Times New Roman" w:hAnsi="Times New Roman"/>
                <w:sz w:val="24"/>
              </w:rPr>
              <w:t xml:space="preserve"> s </w:t>
            </w:r>
            <w:r w:rsidRPr="00E036ED">
              <w:rPr>
                <w:rFonts w:ascii="Times New Roman" w:hAnsi="Times New Roman"/>
                <w:sz w:val="24"/>
              </w:rPr>
              <w:t>bežnými nákupmi alebo predajmi čakajúcimi na vyrovnanie, na ktoré sa vzťahuje účtovanie</w:t>
            </w:r>
            <w:r w:rsidR="00E036ED">
              <w:rPr>
                <w:rFonts w:ascii="Times New Roman" w:hAnsi="Times New Roman"/>
                <w:sz w:val="24"/>
              </w:rPr>
              <w:t xml:space="preserve"> k </w:t>
            </w:r>
            <w:r w:rsidRPr="00E036ED">
              <w:rPr>
                <w:rFonts w:ascii="Times New Roman" w:hAnsi="Times New Roman"/>
                <w:sz w:val="24"/>
              </w:rPr>
              <w:t>dátumu uzatvorenia obchodu</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článkom 429g ods. 1</w:t>
            </w:r>
            <w:r w:rsidR="00E036ED">
              <w:rPr>
                <w:rFonts w:ascii="Times New Roman" w:hAnsi="Times New Roman"/>
                <w:sz w:val="24"/>
              </w:rPr>
              <w:t xml:space="preserve"> a </w:t>
            </w:r>
            <w:r w:rsidRPr="00E036ED">
              <w:rPr>
                <w:rFonts w:ascii="Times New Roman" w:hAnsi="Times New Roman"/>
                <w:sz w:val="24"/>
              </w:rPr>
              <w:t xml:space="preserve">2 nariadenia (EÚ) </w:t>
            </w:r>
            <w:r w:rsidR="00E036ED">
              <w:rPr>
                <w:rFonts w:ascii="Times New Roman" w:hAnsi="Times New Roman"/>
                <w:sz w:val="24"/>
              </w:rPr>
              <w:t>č. </w:t>
            </w:r>
            <w:r w:rsidRPr="00E036ED">
              <w:rPr>
                <w:rFonts w:ascii="Times New Roman" w:hAnsi="Times New Roman"/>
                <w:sz w:val="24"/>
              </w:rPr>
              <w:t>575/2013. Úprava je súčtom týchto hodnôt:</w:t>
            </w:r>
          </w:p>
          <w:p w14:paraId="6D6B3130" w14:textId="67D930BB" w:rsidR="00E036ED" w:rsidRDefault="00646595" w:rsidP="00646595">
            <w:pPr>
              <w:pStyle w:val="ListParagraph"/>
              <w:numPr>
                <w:ilvl w:val="0"/>
                <w:numId w:val="7"/>
              </w:numPr>
              <w:spacing w:after="120"/>
              <w:contextualSpacing/>
              <w:jc w:val="both"/>
              <w:rPr>
                <w:rFonts w:ascii="Times New Roman" w:hAnsi="Times New Roman"/>
                <w:sz w:val="24"/>
              </w:rPr>
            </w:pPr>
            <w:r w:rsidRPr="00E036ED">
              <w:rPr>
                <w:rFonts w:ascii="Times New Roman" w:hAnsi="Times New Roman"/>
                <w:sz w:val="24"/>
              </w:rPr>
              <w:t>Suma vzájomného započítania medzi peňažnými pohľadávkami</w:t>
            </w:r>
            <w:r w:rsidR="00E036ED">
              <w:rPr>
                <w:rFonts w:ascii="Times New Roman" w:hAnsi="Times New Roman"/>
                <w:sz w:val="24"/>
              </w:rPr>
              <w:t xml:space="preserve"> z </w:t>
            </w:r>
            <w:r w:rsidRPr="00E036ED">
              <w:rPr>
                <w:rFonts w:ascii="Times New Roman" w:hAnsi="Times New Roman"/>
                <w:sz w:val="24"/>
              </w:rPr>
              <w:t>bežných predajov čakajúcich na vyrovnanie</w:t>
            </w:r>
            <w:r w:rsidR="00E036ED">
              <w:rPr>
                <w:rFonts w:ascii="Times New Roman" w:hAnsi="Times New Roman"/>
                <w:sz w:val="24"/>
              </w:rPr>
              <w:t xml:space="preserve"> a </w:t>
            </w:r>
            <w:r w:rsidRPr="00E036ED">
              <w:rPr>
                <w:rFonts w:ascii="Times New Roman" w:hAnsi="Times New Roman"/>
                <w:sz w:val="24"/>
              </w:rPr>
              <w:t>peňažnými záväzkami</w:t>
            </w:r>
            <w:r w:rsidR="00E036ED">
              <w:rPr>
                <w:rFonts w:ascii="Times New Roman" w:hAnsi="Times New Roman"/>
                <w:sz w:val="24"/>
              </w:rPr>
              <w:t xml:space="preserve"> z </w:t>
            </w:r>
            <w:r w:rsidRPr="00E036ED">
              <w:rPr>
                <w:rFonts w:ascii="Times New Roman" w:hAnsi="Times New Roman"/>
                <w:sz w:val="24"/>
              </w:rPr>
              <w:t>bežných nákupov čakajúcich na vyrovnanie, ako to umožňuje účtovný rámec. Ide</w:t>
            </w:r>
            <w:r w:rsidR="00E036ED">
              <w:rPr>
                <w:rFonts w:ascii="Times New Roman" w:hAnsi="Times New Roman"/>
                <w:sz w:val="24"/>
              </w:rPr>
              <w:t xml:space="preserve"> o </w:t>
            </w:r>
            <w:r w:rsidRPr="00E036ED">
              <w:rPr>
                <w:rFonts w:ascii="Times New Roman" w:hAnsi="Times New Roman"/>
                <w:sz w:val="24"/>
              </w:rPr>
              <w:t>kladnú hodnotu</w:t>
            </w:r>
            <w:r w:rsidR="00E036ED">
              <w:rPr>
                <w:rFonts w:ascii="Times New Roman" w:hAnsi="Times New Roman"/>
                <w:sz w:val="24"/>
              </w:rPr>
              <w:t>.</w:t>
            </w:r>
          </w:p>
          <w:p w14:paraId="0C87C65C" w14:textId="61AEAD18" w:rsidR="00E036ED" w:rsidRDefault="00646595" w:rsidP="00646595">
            <w:pPr>
              <w:pStyle w:val="ListParagraph"/>
              <w:numPr>
                <w:ilvl w:val="0"/>
                <w:numId w:val="7"/>
              </w:numPr>
              <w:spacing w:after="120"/>
              <w:contextualSpacing/>
              <w:jc w:val="both"/>
              <w:rPr>
                <w:rFonts w:ascii="Times New Roman" w:hAnsi="Times New Roman"/>
                <w:sz w:val="24"/>
              </w:rPr>
            </w:pPr>
            <w:r w:rsidRPr="00E036ED">
              <w:rPr>
                <w:rFonts w:ascii="Times New Roman" w:hAnsi="Times New Roman"/>
                <w:sz w:val="24"/>
              </w:rPr>
              <w:t>Suma vzájomného započítania medzi peňažnými pohľadávkami</w:t>
            </w:r>
            <w:r w:rsidR="00E036ED">
              <w:rPr>
                <w:rFonts w:ascii="Times New Roman" w:hAnsi="Times New Roman"/>
                <w:sz w:val="24"/>
              </w:rPr>
              <w:t xml:space="preserve"> a </w:t>
            </w:r>
            <w:r w:rsidRPr="00E036ED">
              <w:rPr>
                <w:rFonts w:ascii="Times New Roman" w:hAnsi="Times New Roman"/>
                <w:sz w:val="24"/>
              </w:rPr>
              <w:t>peňažnými záväzkami, ak sú súvisiace bežné predaje aj nákupy vyrovnané na základe dodania oproti platbe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429g ods. 2 nariadenia (EÚ) </w:t>
            </w:r>
            <w:r w:rsidR="00E036ED">
              <w:rPr>
                <w:rFonts w:ascii="Times New Roman" w:hAnsi="Times New Roman"/>
                <w:sz w:val="24"/>
              </w:rPr>
              <w:t>č. </w:t>
            </w:r>
            <w:r w:rsidRPr="00E036ED">
              <w:rPr>
                <w:rFonts w:ascii="Times New Roman" w:hAnsi="Times New Roman"/>
                <w:sz w:val="24"/>
              </w:rPr>
              <w:t>575/2013. Ide</w:t>
            </w:r>
            <w:r w:rsidR="00E036ED">
              <w:rPr>
                <w:rFonts w:ascii="Times New Roman" w:hAnsi="Times New Roman"/>
                <w:sz w:val="24"/>
              </w:rPr>
              <w:t xml:space="preserve"> o </w:t>
            </w:r>
            <w:r w:rsidRPr="00E036ED">
              <w:rPr>
                <w:rFonts w:ascii="Times New Roman" w:hAnsi="Times New Roman"/>
                <w:sz w:val="24"/>
              </w:rPr>
              <w:t>zápornú hodnotu</w:t>
            </w:r>
            <w:r w:rsidR="00E036ED">
              <w:rPr>
                <w:rFonts w:ascii="Times New Roman" w:hAnsi="Times New Roman"/>
                <w:sz w:val="24"/>
              </w:rPr>
              <w:t>.</w:t>
            </w:r>
          </w:p>
          <w:p w14:paraId="69E09F6C" w14:textId="1C033D55" w:rsidR="00646595" w:rsidRPr="00E036ED" w:rsidRDefault="00646595" w:rsidP="17C07D06">
            <w:pPr>
              <w:spacing w:after="120"/>
              <w:jc w:val="both"/>
              <w:rPr>
                <w:rFonts w:ascii="Times New Roman" w:hAnsi="Times New Roman" w:cs="Times New Roman"/>
                <w:sz w:val="24"/>
              </w:rPr>
            </w:pPr>
            <w:r w:rsidRPr="00E036ED">
              <w:rPr>
                <w:rFonts w:ascii="Times New Roman" w:hAnsi="Times New Roman"/>
                <w:sz w:val="24"/>
              </w:rPr>
              <w:t>Bežné nákupy alebo predaje čakajúce na vyrovnanie, na ktoré sa vzťahuje účtovanie</w:t>
            </w:r>
            <w:r w:rsidR="00E036ED">
              <w:rPr>
                <w:rFonts w:ascii="Times New Roman" w:hAnsi="Times New Roman"/>
                <w:sz w:val="24"/>
              </w:rPr>
              <w:t xml:space="preserve"> k </w:t>
            </w:r>
            <w:r w:rsidRPr="00E036ED">
              <w:rPr>
                <w:rFonts w:ascii="Times New Roman" w:hAnsi="Times New Roman"/>
                <w:sz w:val="24"/>
              </w:rPr>
              <w:t>dátumu vyrovnania</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429g ods. 3 nariadenia (EÚ) </w:t>
            </w:r>
            <w:r w:rsidR="00E036ED">
              <w:rPr>
                <w:rFonts w:ascii="Times New Roman" w:hAnsi="Times New Roman"/>
                <w:sz w:val="24"/>
              </w:rPr>
              <w:t>č. </w:t>
            </w:r>
            <w:r w:rsidRPr="00E036ED">
              <w:rPr>
                <w:rFonts w:ascii="Times New Roman" w:hAnsi="Times New Roman"/>
                <w:sz w:val="24"/>
              </w:rPr>
              <w:t>575/2013, sa zahŕňajú do riadku 10 vzoru EU LR1 – LRSum.</w:t>
            </w:r>
          </w:p>
          <w:p w14:paraId="69E09F6D" w14:textId="0DC98942" w:rsidR="00646595" w:rsidRPr="00E036ED" w:rsidRDefault="00646595" w:rsidP="00E9371F">
            <w:pPr>
              <w:tabs>
                <w:tab w:val="left" w:pos="400"/>
              </w:tabs>
              <w:spacing w:after="120"/>
              <w:jc w:val="both"/>
              <w:rPr>
                <w:rStyle w:val="TeksttreciPogrubienie"/>
                <w:rFonts w:ascii="Times New Roman" w:hAnsi="Times New Roman" w:cs="Times New Roman"/>
                <w:color w:val="auto"/>
                <w:sz w:val="24"/>
              </w:rPr>
            </w:pPr>
            <w:r w:rsidRPr="00E036ED">
              <w:rPr>
                <w:rFonts w:ascii="Times New Roman" w:hAnsi="Times New Roman"/>
                <w:sz w:val="24"/>
              </w:rPr>
              <w:t>Ak táto úprava vedie</w:t>
            </w:r>
            <w:r w:rsidR="00E036ED">
              <w:rPr>
                <w:rFonts w:ascii="Times New Roman" w:hAnsi="Times New Roman"/>
                <w:sz w:val="24"/>
              </w:rPr>
              <w:t xml:space="preserve"> k </w:t>
            </w:r>
            <w:r w:rsidRPr="00E036ED">
              <w:rPr>
                <w:rFonts w:ascii="Times New Roman" w:hAnsi="Times New Roman"/>
                <w:sz w:val="24"/>
              </w:rPr>
              <w:t>zväčšeniu expozície, inštitúcie to zverejňujú ako kladnú hodnotu. Ak táto úprava vedie</w:t>
            </w:r>
            <w:r w:rsidR="00E036ED">
              <w:rPr>
                <w:rFonts w:ascii="Times New Roman" w:hAnsi="Times New Roman"/>
                <w:sz w:val="24"/>
              </w:rPr>
              <w:t xml:space="preserve"> k </w:t>
            </w:r>
            <w:r w:rsidRPr="00E036ED">
              <w:rPr>
                <w:rFonts w:ascii="Times New Roman" w:hAnsi="Times New Roman"/>
                <w:sz w:val="24"/>
              </w:rPr>
              <w:t>zmenšeniu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74" w14:textId="77777777" w:rsidTr="5E9D3914">
        <w:trPr>
          <w:trHeight w:val="708"/>
        </w:trPr>
        <w:tc>
          <w:tcPr>
            <w:tcW w:w="1384" w:type="dxa"/>
            <w:vAlign w:val="center"/>
          </w:tcPr>
          <w:p w14:paraId="69E09F6F"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7</w:t>
            </w:r>
          </w:p>
        </w:tc>
        <w:tc>
          <w:tcPr>
            <w:tcW w:w="7655" w:type="dxa"/>
          </w:tcPr>
          <w:p w14:paraId="69E09F70" w14:textId="245C2692"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oprávnené transakcie konsolidácie zostatkov</w:t>
            </w:r>
          </w:p>
          <w:p w14:paraId="69E09F71" w14:textId="1F0D8F6C" w:rsidR="00646595" w:rsidRPr="00E036E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Článok 429b ods. 2</w:t>
            </w:r>
            <w:r w:rsidR="00E036ED">
              <w:rPr>
                <w:rFonts w:ascii="Times New Roman" w:hAnsi="Times New Roman"/>
                <w:sz w:val="24"/>
              </w:rPr>
              <w:t xml:space="preserve"> a </w:t>
            </w:r>
            <w:r w:rsidRPr="00E036ED">
              <w:rPr>
                <w:rFonts w:ascii="Times New Roman" w:hAnsi="Times New Roman"/>
                <w:sz w:val="24"/>
              </w:rPr>
              <w:t xml:space="preserve">3 nariadenia (EÚ) </w:t>
            </w:r>
            <w:r w:rsidR="00E036ED">
              <w:rPr>
                <w:rFonts w:ascii="Times New Roman" w:hAnsi="Times New Roman"/>
                <w:sz w:val="24"/>
              </w:rPr>
              <w:t>č. </w:t>
            </w:r>
            <w:r w:rsidRPr="00E036ED">
              <w:rPr>
                <w:rFonts w:ascii="Times New Roman" w:hAnsi="Times New Roman"/>
                <w:sz w:val="24"/>
              </w:rPr>
              <w:t>575/2013.</w:t>
            </w:r>
          </w:p>
          <w:p w14:paraId="69E09F72" w14:textId="57868974" w:rsidR="00646595" w:rsidRPr="00E036E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rozdiel medzi účtovnou hodnotou</w:t>
            </w:r>
            <w:r w:rsidR="00E036ED">
              <w:rPr>
                <w:rFonts w:ascii="Times New Roman" w:hAnsi="Times New Roman"/>
                <w:sz w:val="24"/>
              </w:rPr>
              <w:t xml:space="preserve"> a </w:t>
            </w:r>
            <w:r w:rsidRPr="00E036ED">
              <w:rPr>
                <w:rFonts w:ascii="Times New Roman" w:hAnsi="Times New Roman"/>
                <w:sz w:val="24"/>
              </w:rPr>
              <w:t>hodnotou expozície ukazovateľa finančnej páky</w:t>
            </w:r>
            <w:r w:rsidR="00E036ED">
              <w:rPr>
                <w:rFonts w:ascii="Times New Roman" w:hAnsi="Times New Roman"/>
                <w:sz w:val="24"/>
              </w:rPr>
              <w:t xml:space="preserve"> v </w:t>
            </w:r>
            <w:r w:rsidRPr="00E036ED">
              <w:rPr>
                <w:rFonts w:ascii="Times New Roman" w:hAnsi="Times New Roman"/>
                <w:sz w:val="24"/>
              </w:rPr>
              <w:t>rámci dohôd</w:t>
            </w:r>
            <w:r w:rsidR="00E036ED">
              <w:rPr>
                <w:rFonts w:ascii="Times New Roman" w:hAnsi="Times New Roman"/>
                <w:sz w:val="24"/>
              </w:rPr>
              <w:t xml:space="preserve"> o </w:t>
            </w:r>
            <w:r w:rsidRPr="00E036ED">
              <w:rPr>
                <w:rFonts w:ascii="Times New Roman" w:hAnsi="Times New Roman"/>
                <w:sz w:val="24"/>
              </w:rPr>
              <w:t>konsolidácii zostatkov</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podmienkami uvedenými</w:t>
            </w:r>
            <w:r w:rsidR="00E036ED">
              <w:rPr>
                <w:rFonts w:ascii="Times New Roman" w:hAnsi="Times New Roman"/>
                <w:sz w:val="24"/>
              </w:rPr>
              <w:t xml:space="preserve"> v </w:t>
            </w:r>
            <w:r w:rsidRPr="00E036ED">
              <w:rPr>
                <w:rFonts w:ascii="Times New Roman" w:hAnsi="Times New Roman"/>
                <w:sz w:val="24"/>
              </w:rPr>
              <w:t>článku 429b ods. 2</w:t>
            </w:r>
            <w:r w:rsidR="00E036ED">
              <w:rPr>
                <w:rFonts w:ascii="Times New Roman" w:hAnsi="Times New Roman"/>
                <w:sz w:val="24"/>
              </w:rPr>
              <w:t xml:space="preserve"> a </w:t>
            </w:r>
            <w:r w:rsidRPr="00E036ED">
              <w:rPr>
                <w:rFonts w:ascii="Times New Roman" w:hAnsi="Times New Roman"/>
                <w:sz w:val="24"/>
              </w:rPr>
              <w:t xml:space="preserve">3 nariadenia (EÚ) </w:t>
            </w:r>
            <w:r w:rsidR="00E036ED">
              <w:rPr>
                <w:rFonts w:ascii="Times New Roman" w:hAnsi="Times New Roman"/>
                <w:sz w:val="24"/>
              </w:rPr>
              <w:t>č. </w:t>
            </w:r>
            <w:r w:rsidRPr="00E036ED">
              <w:rPr>
                <w:rFonts w:ascii="Times New Roman" w:hAnsi="Times New Roman"/>
                <w:sz w:val="24"/>
              </w:rPr>
              <w:t>575/2013.</w:t>
            </w:r>
          </w:p>
          <w:p w14:paraId="69E09F73" w14:textId="55021E41" w:rsidR="00646595" w:rsidRPr="00E036ED"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Fonts w:ascii="Times New Roman" w:hAnsi="Times New Roman"/>
                <w:sz w:val="24"/>
              </w:rPr>
              <w:t>Ak táto úprava vedie</w:t>
            </w:r>
            <w:r w:rsidR="00E036ED">
              <w:rPr>
                <w:rFonts w:ascii="Times New Roman" w:hAnsi="Times New Roman"/>
                <w:sz w:val="24"/>
              </w:rPr>
              <w:t xml:space="preserve"> k </w:t>
            </w:r>
            <w:r w:rsidRPr="00E036ED">
              <w:rPr>
                <w:rFonts w:ascii="Times New Roman" w:hAnsi="Times New Roman"/>
                <w:sz w:val="24"/>
              </w:rPr>
              <w:t>zvýšeniu expozície</w:t>
            </w:r>
            <w:r w:rsidR="00E036ED">
              <w:rPr>
                <w:rFonts w:ascii="Times New Roman" w:hAnsi="Times New Roman"/>
                <w:sz w:val="24"/>
              </w:rPr>
              <w:t xml:space="preserve"> v </w:t>
            </w:r>
            <w:r w:rsidRPr="00E036ED">
              <w:rPr>
                <w:rFonts w:ascii="Times New Roman" w:hAnsi="Times New Roman"/>
                <w:sz w:val="24"/>
              </w:rPr>
              <w:t>dôsledku transakcií, ktoré sú podľa uplatniteľného účtovného rámca vyjadrené</w:t>
            </w:r>
            <w:r w:rsidR="00E036ED">
              <w:rPr>
                <w:rFonts w:ascii="Times New Roman" w:hAnsi="Times New Roman"/>
                <w:sz w:val="24"/>
              </w:rPr>
              <w:t xml:space="preserve"> v </w:t>
            </w:r>
            <w:r w:rsidRPr="00E036ED">
              <w:rPr>
                <w:rFonts w:ascii="Times New Roman" w:hAnsi="Times New Roman"/>
                <w:sz w:val="24"/>
              </w:rPr>
              <w:t>čistom, no nespĺňajú podmienky pre uvedenie na čistom základe podľa článku 429b ods. 2</w:t>
            </w:r>
            <w:r w:rsidR="00E036ED">
              <w:rPr>
                <w:rFonts w:ascii="Times New Roman" w:hAnsi="Times New Roman"/>
                <w:sz w:val="24"/>
              </w:rPr>
              <w:t xml:space="preserve"> a </w:t>
            </w:r>
            <w:r w:rsidRPr="00E036ED">
              <w:rPr>
                <w:rFonts w:ascii="Times New Roman" w:hAnsi="Times New Roman"/>
                <w:sz w:val="24"/>
              </w:rPr>
              <w:t xml:space="preserve">3 nariadenia (EÚ) </w:t>
            </w:r>
            <w:r w:rsidR="00E036ED">
              <w:rPr>
                <w:rFonts w:ascii="Times New Roman" w:hAnsi="Times New Roman"/>
                <w:sz w:val="24"/>
              </w:rPr>
              <w:t>č. </w:t>
            </w:r>
            <w:r w:rsidRPr="00E036ED">
              <w:rPr>
                <w:rFonts w:ascii="Times New Roman" w:hAnsi="Times New Roman"/>
                <w:sz w:val="24"/>
              </w:rPr>
              <w:t>575/2013, inštitúcie to zverejňujú ako kladnú hodnotu. Ak táto úprava vedie</w:t>
            </w:r>
            <w:r w:rsidR="00E036ED">
              <w:rPr>
                <w:rFonts w:ascii="Times New Roman" w:hAnsi="Times New Roman"/>
                <w:sz w:val="24"/>
              </w:rPr>
              <w:t xml:space="preserve"> k </w:t>
            </w:r>
            <w:r w:rsidRPr="00E036ED">
              <w:rPr>
                <w:rFonts w:ascii="Times New Roman" w:hAnsi="Times New Roman"/>
                <w:sz w:val="24"/>
              </w:rPr>
              <w:t>zníženiu expozície</w:t>
            </w:r>
            <w:r w:rsidR="00E036ED">
              <w:rPr>
                <w:rFonts w:ascii="Times New Roman" w:hAnsi="Times New Roman"/>
                <w:sz w:val="24"/>
              </w:rPr>
              <w:t xml:space="preserve"> v </w:t>
            </w:r>
            <w:r w:rsidRPr="00E036ED">
              <w:rPr>
                <w:rFonts w:ascii="Times New Roman" w:hAnsi="Times New Roman"/>
                <w:sz w:val="24"/>
              </w:rPr>
              <w:t xml:space="preserve">dôsledku transakcií, ktoré nie sú </w:t>
            </w:r>
            <w:r w:rsidRPr="00E036ED">
              <w:rPr>
                <w:rFonts w:ascii="Times New Roman" w:hAnsi="Times New Roman"/>
                <w:sz w:val="24"/>
              </w:rPr>
              <w:lastRenderedPageBreak/>
              <w:t>podľa uplatniteľného účtovného rámca vyjadrené</w:t>
            </w:r>
            <w:r w:rsidR="00E036ED">
              <w:rPr>
                <w:rFonts w:ascii="Times New Roman" w:hAnsi="Times New Roman"/>
                <w:sz w:val="24"/>
              </w:rPr>
              <w:t xml:space="preserve"> v </w:t>
            </w:r>
            <w:r w:rsidRPr="00E036ED">
              <w:rPr>
                <w:rFonts w:ascii="Times New Roman" w:hAnsi="Times New Roman"/>
                <w:sz w:val="24"/>
              </w:rPr>
              <w:t>čistom, no spĺňajú podmienky pre uvedenie na čistom základe podľa článku 429b ods. 2</w:t>
            </w:r>
            <w:r w:rsidR="00E036ED">
              <w:rPr>
                <w:rFonts w:ascii="Times New Roman" w:hAnsi="Times New Roman"/>
                <w:sz w:val="24"/>
              </w:rPr>
              <w:t xml:space="preserve"> a </w:t>
            </w:r>
            <w:r w:rsidRPr="00E036ED">
              <w:rPr>
                <w:rFonts w:ascii="Times New Roman" w:hAnsi="Times New Roman"/>
                <w:sz w:val="24"/>
              </w:rPr>
              <w:t xml:space="preserve">3 nariadenia (EÚ) </w:t>
            </w:r>
            <w:r w:rsidR="00E036ED">
              <w:rPr>
                <w:rFonts w:ascii="Times New Roman" w:hAnsi="Times New Roman"/>
                <w:sz w:val="24"/>
              </w:rPr>
              <w:t>č. </w:t>
            </w:r>
            <w:r w:rsidRPr="00E036ED">
              <w:rPr>
                <w:rFonts w:ascii="Times New Roman" w:hAnsi="Times New Roman"/>
                <w:sz w:val="24"/>
              </w:rPr>
              <w:t>575/2013,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79" w14:textId="77777777" w:rsidTr="5E9D3914">
        <w:trPr>
          <w:trHeight w:val="2265"/>
        </w:trPr>
        <w:tc>
          <w:tcPr>
            <w:tcW w:w="1384" w:type="dxa"/>
            <w:vAlign w:val="center"/>
          </w:tcPr>
          <w:p w14:paraId="69E09F75"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8</w:t>
            </w:r>
          </w:p>
        </w:tc>
        <w:tc>
          <w:tcPr>
            <w:tcW w:w="7655" w:type="dxa"/>
          </w:tcPr>
          <w:p w14:paraId="69E09F76" w14:textId="1BF93107"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derivátové finančné nástroje</w:t>
            </w:r>
          </w:p>
          <w:p w14:paraId="69E09F77" w14:textId="25B2149F" w:rsidR="00646595" w:rsidRPr="00E036E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Pri kreditných derivátoch</w:t>
            </w:r>
            <w:r w:rsidR="00E036ED">
              <w:rPr>
                <w:rFonts w:ascii="Times New Roman" w:hAnsi="Times New Roman"/>
                <w:sz w:val="24"/>
              </w:rPr>
              <w:t xml:space="preserve"> a </w:t>
            </w:r>
            <w:r w:rsidRPr="00E036ED">
              <w:rPr>
                <w:rFonts w:ascii="Times New Roman" w:hAnsi="Times New Roman"/>
                <w:sz w:val="24"/>
              </w:rPr>
              <w:t>zmluvách uvedených</w:t>
            </w:r>
            <w:r w:rsidR="00E036ED">
              <w:rPr>
                <w:rFonts w:ascii="Times New Roman" w:hAnsi="Times New Roman"/>
                <w:sz w:val="24"/>
              </w:rPr>
              <w:t xml:space="preserve"> v </w:t>
            </w:r>
            <w:r w:rsidRPr="00E036ED">
              <w:rPr>
                <w:rFonts w:ascii="Times New Roman" w:hAnsi="Times New Roman"/>
                <w:sz w:val="24"/>
              </w:rPr>
              <w:t>prílohe II</w:t>
            </w:r>
            <w:r w:rsidR="00E036ED">
              <w:rPr>
                <w:rFonts w:ascii="Times New Roman" w:hAnsi="Times New Roman"/>
                <w:sz w:val="24"/>
              </w:rPr>
              <w:t xml:space="preserve"> k </w:t>
            </w:r>
            <w:r w:rsidRPr="00E036ED">
              <w:rPr>
                <w:rFonts w:ascii="Times New Roman" w:hAnsi="Times New Roman"/>
                <w:sz w:val="24"/>
              </w:rPr>
              <w:t xml:space="preserve">nariadeniu (EÚ) </w:t>
            </w:r>
            <w:r w:rsidR="00E036ED">
              <w:rPr>
                <w:rFonts w:ascii="Times New Roman" w:hAnsi="Times New Roman"/>
                <w:sz w:val="24"/>
              </w:rPr>
              <w:t>č. </w:t>
            </w:r>
            <w:r w:rsidRPr="00E036ED">
              <w:rPr>
                <w:rFonts w:ascii="Times New Roman" w:hAnsi="Times New Roman"/>
                <w:sz w:val="24"/>
              </w:rPr>
              <w:t>575/2013 inštitúcie zverejňujú rozdiel</w:t>
            </w:r>
            <w:r w:rsidR="00E036ED">
              <w:rPr>
                <w:rFonts w:ascii="Times New Roman" w:hAnsi="Times New Roman"/>
                <w:sz w:val="24"/>
              </w:rPr>
              <w:t xml:space="preserve"> v </w:t>
            </w:r>
            <w:r w:rsidRPr="00E036ED">
              <w:rPr>
                <w:rFonts w:ascii="Times New Roman" w:hAnsi="Times New Roman"/>
                <w:sz w:val="24"/>
              </w:rPr>
              <w:t>hodnote medzi účtovnou hodnotou derivátov vykazovaných ako aktíva</w:t>
            </w:r>
            <w:r w:rsidR="00E036ED">
              <w:rPr>
                <w:rFonts w:ascii="Times New Roman" w:hAnsi="Times New Roman"/>
                <w:sz w:val="24"/>
              </w:rPr>
              <w:t xml:space="preserve"> a </w:t>
            </w:r>
            <w:r w:rsidRPr="00E036ED">
              <w:rPr>
                <w:rFonts w:ascii="Times New Roman" w:hAnsi="Times New Roman"/>
                <w:sz w:val="24"/>
              </w:rPr>
              <w:t>hodnotou expozície ukazovateľa finančnej páky určenou uplatnením článku 429 ods. 4 písm. b), článku 429c, článku 429d, článku 429a ods. 1 písm. g)</w:t>
            </w:r>
            <w:r w:rsidR="00E036ED">
              <w:rPr>
                <w:rFonts w:ascii="Times New Roman" w:hAnsi="Times New Roman"/>
                <w:sz w:val="24"/>
              </w:rPr>
              <w:t xml:space="preserve"> a </w:t>
            </w:r>
            <w:r w:rsidRPr="00E036ED">
              <w:rPr>
                <w:rFonts w:ascii="Times New Roman" w:hAnsi="Times New Roman"/>
                <w:sz w:val="24"/>
              </w:rPr>
              <w:t>h)</w:t>
            </w:r>
            <w:r w:rsidR="00E036ED">
              <w:rPr>
                <w:rFonts w:ascii="Times New Roman" w:hAnsi="Times New Roman"/>
                <w:sz w:val="24"/>
              </w:rPr>
              <w:t xml:space="preserve"> a </w:t>
            </w:r>
            <w:r w:rsidRPr="00E036ED">
              <w:rPr>
                <w:rFonts w:ascii="Times New Roman" w:hAnsi="Times New Roman"/>
                <w:sz w:val="24"/>
              </w:rPr>
              <w:t xml:space="preserve">článku 429 ods. 5 nariadenia (EÚ) </w:t>
            </w:r>
            <w:r w:rsidR="00E036ED">
              <w:rPr>
                <w:rFonts w:ascii="Times New Roman" w:hAnsi="Times New Roman"/>
                <w:sz w:val="24"/>
              </w:rPr>
              <w:t>č. </w:t>
            </w:r>
            <w:r w:rsidRPr="00E036ED">
              <w:rPr>
                <w:rFonts w:ascii="Times New Roman" w:hAnsi="Times New Roman"/>
                <w:sz w:val="24"/>
              </w:rPr>
              <w:t>575/2013.</w:t>
            </w:r>
          </w:p>
          <w:p w14:paraId="69E09F78" w14:textId="397BA0B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 táto úprava vedie</w:t>
            </w:r>
            <w:r w:rsidR="00E036ED">
              <w:rPr>
                <w:rFonts w:ascii="Times New Roman" w:hAnsi="Times New Roman"/>
                <w:sz w:val="24"/>
              </w:rPr>
              <w:t xml:space="preserve"> k </w:t>
            </w:r>
            <w:r w:rsidRPr="00E036ED">
              <w:rPr>
                <w:rFonts w:ascii="Times New Roman" w:hAnsi="Times New Roman"/>
                <w:sz w:val="24"/>
              </w:rPr>
              <w:t>zväčšeniu expozície, inštitúcie to zverejňujú ako kladnú hodnotu. Ak táto úprava vedie</w:t>
            </w:r>
            <w:r w:rsidR="00E036ED">
              <w:rPr>
                <w:rFonts w:ascii="Times New Roman" w:hAnsi="Times New Roman"/>
                <w:sz w:val="24"/>
              </w:rPr>
              <w:t xml:space="preserve"> k </w:t>
            </w:r>
            <w:r w:rsidRPr="00E036ED">
              <w:rPr>
                <w:rFonts w:ascii="Times New Roman" w:hAnsi="Times New Roman"/>
                <w:sz w:val="24"/>
              </w:rPr>
              <w:t>zmenšeniu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7E" w14:textId="77777777" w:rsidTr="5E9D3914">
        <w:trPr>
          <w:trHeight w:val="2265"/>
        </w:trPr>
        <w:tc>
          <w:tcPr>
            <w:tcW w:w="1384" w:type="dxa"/>
            <w:vAlign w:val="center"/>
          </w:tcPr>
          <w:p w14:paraId="69E09F7A"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9</w:t>
            </w:r>
          </w:p>
        </w:tc>
        <w:tc>
          <w:tcPr>
            <w:tcW w:w="7655" w:type="dxa"/>
          </w:tcPr>
          <w:p w14:paraId="69E09F7B" w14:textId="7C93DA1E"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transakcie financovania prostredníctvom cenných papierov (SFT)</w:t>
            </w:r>
          </w:p>
          <w:p w14:paraId="69E09F7C" w14:textId="626204AA"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V prípade SFT inštitúcie zverejňujú rozdiel medzi účtovnou hodnotou SFT vykazovaných ako aktíva</w:t>
            </w:r>
            <w:r w:rsidR="00E036ED">
              <w:rPr>
                <w:rFonts w:ascii="Times New Roman" w:hAnsi="Times New Roman"/>
                <w:sz w:val="24"/>
              </w:rPr>
              <w:t xml:space="preserve"> a </w:t>
            </w:r>
            <w:r w:rsidRPr="00E036ED">
              <w:rPr>
                <w:rFonts w:ascii="Times New Roman" w:hAnsi="Times New Roman"/>
                <w:sz w:val="24"/>
              </w:rPr>
              <w:t>hodnotou expozície ukazovateľa finančnej páky, ako je určená uplatnením článku 429 ods. 4 písm. a)</w:t>
            </w:r>
            <w:r w:rsidR="00E036ED">
              <w:rPr>
                <w:rFonts w:ascii="Times New Roman" w:hAnsi="Times New Roman"/>
                <w:sz w:val="24"/>
              </w:rPr>
              <w:t xml:space="preserve"> a </w:t>
            </w:r>
            <w:r w:rsidRPr="00E036ED">
              <w:rPr>
                <w:rFonts w:ascii="Times New Roman" w:hAnsi="Times New Roman"/>
                <w:sz w:val="24"/>
              </w:rPr>
              <w:t>c)</w:t>
            </w:r>
            <w:r w:rsidR="00E036ED">
              <w:rPr>
                <w:rFonts w:ascii="Times New Roman" w:hAnsi="Times New Roman"/>
                <w:sz w:val="24"/>
              </w:rPr>
              <w:t xml:space="preserve"> v </w:t>
            </w:r>
            <w:r w:rsidRPr="00E036ED">
              <w:rPr>
                <w:rFonts w:ascii="Times New Roman" w:hAnsi="Times New Roman"/>
                <w:sz w:val="24"/>
              </w:rPr>
              <w:t>spojení</w:t>
            </w:r>
            <w:r w:rsidR="00E036ED">
              <w:rPr>
                <w:rFonts w:ascii="Times New Roman" w:hAnsi="Times New Roman"/>
                <w:sz w:val="24"/>
              </w:rPr>
              <w:t xml:space="preserve"> s </w:t>
            </w:r>
            <w:r w:rsidRPr="00E036ED">
              <w:rPr>
                <w:rFonts w:ascii="Times New Roman" w:hAnsi="Times New Roman"/>
                <w:sz w:val="24"/>
              </w:rPr>
              <w:t>článkom 429e, článkom 429 ods. 7 písm. b)</w:t>
            </w:r>
            <w:r w:rsidR="00E036ED">
              <w:rPr>
                <w:rFonts w:ascii="Times New Roman" w:hAnsi="Times New Roman"/>
                <w:sz w:val="24"/>
              </w:rPr>
              <w:t xml:space="preserve"> a </w:t>
            </w:r>
            <w:r w:rsidRPr="00E036ED">
              <w:rPr>
                <w:rFonts w:ascii="Times New Roman" w:hAnsi="Times New Roman"/>
                <w:sz w:val="24"/>
              </w:rPr>
              <w:t>článkom 429b ods. 1 písm. b),</w:t>
            </w:r>
            <w:r w:rsidR="00E036ED">
              <w:rPr>
                <w:rFonts w:ascii="Times New Roman" w:hAnsi="Times New Roman"/>
                <w:sz w:val="24"/>
              </w:rPr>
              <w:t xml:space="preserve"> s </w:t>
            </w:r>
            <w:r w:rsidRPr="00E036ED">
              <w:rPr>
                <w:rFonts w:ascii="Times New Roman" w:hAnsi="Times New Roman"/>
                <w:sz w:val="24"/>
              </w:rPr>
              <w:t>článkom 429b ods. 4</w:t>
            </w:r>
            <w:r w:rsidR="00E036ED">
              <w:rPr>
                <w:rFonts w:ascii="Times New Roman" w:hAnsi="Times New Roman"/>
                <w:sz w:val="24"/>
              </w:rPr>
              <w:t xml:space="preserve"> a </w:t>
            </w:r>
            <w:r w:rsidRPr="00E036ED">
              <w:rPr>
                <w:rFonts w:ascii="Times New Roman" w:hAnsi="Times New Roman"/>
                <w:sz w:val="24"/>
              </w:rPr>
              <w:t>článkom 429a ods. 1 písm. g)</w:t>
            </w:r>
            <w:r w:rsidR="00E036ED">
              <w:rPr>
                <w:rFonts w:ascii="Times New Roman" w:hAnsi="Times New Roman"/>
                <w:sz w:val="24"/>
              </w:rPr>
              <w:t xml:space="preserve"> a </w:t>
            </w:r>
            <w:r w:rsidRPr="00E036ED">
              <w:rPr>
                <w:rFonts w:ascii="Times New Roman" w:hAnsi="Times New Roman"/>
                <w:sz w:val="24"/>
              </w:rPr>
              <w:t xml:space="preserve">h) nariadenia (EÚ) </w:t>
            </w:r>
            <w:r w:rsidR="00E036ED">
              <w:rPr>
                <w:rFonts w:ascii="Times New Roman" w:hAnsi="Times New Roman"/>
                <w:sz w:val="24"/>
              </w:rPr>
              <w:t>č. </w:t>
            </w:r>
            <w:r w:rsidRPr="00E036ED">
              <w:rPr>
                <w:rFonts w:ascii="Times New Roman" w:hAnsi="Times New Roman"/>
                <w:sz w:val="24"/>
              </w:rPr>
              <w:t>575/2013.</w:t>
            </w:r>
          </w:p>
          <w:p w14:paraId="69E09F7D" w14:textId="6585FC5A"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 táto úprava vedie</w:t>
            </w:r>
            <w:r w:rsidR="00E036ED">
              <w:rPr>
                <w:rFonts w:ascii="Times New Roman" w:hAnsi="Times New Roman"/>
                <w:sz w:val="24"/>
              </w:rPr>
              <w:t xml:space="preserve"> k </w:t>
            </w:r>
            <w:r w:rsidRPr="00E036ED">
              <w:rPr>
                <w:rFonts w:ascii="Times New Roman" w:hAnsi="Times New Roman"/>
                <w:sz w:val="24"/>
              </w:rPr>
              <w:t>zväčšeniu expozície, inštitúcie to zverejňujú ako kladnú hodnotu. Ak táto úprava vedie</w:t>
            </w:r>
            <w:r w:rsidR="00E036ED">
              <w:rPr>
                <w:rFonts w:ascii="Times New Roman" w:hAnsi="Times New Roman"/>
                <w:sz w:val="24"/>
              </w:rPr>
              <w:t xml:space="preserve"> k </w:t>
            </w:r>
            <w:r w:rsidRPr="00E036ED">
              <w:rPr>
                <w:rFonts w:ascii="Times New Roman" w:hAnsi="Times New Roman"/>
                <w:sz w:val="24"/>
              </w:rPr>
              <w:t>zmenšeniu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84" w14:textId="77777777" w:rsidTr="5E9D3914">
        <w:trPr>
          <w:trHeight w:val="132"/>
        </w:trPr>
        <w:tc>
          <w:tcPr>
            <w:tcW w:w="1384" w:type="dxa"/>
            <w:vAlign w:val="center"/>
          </w:tcPr>
          <w:p w14:paraId="69E09F7F"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10</w:t>
            </w:r>
          </w:p>
        </w:tc>
        <w:tc>
          <w:tcPr>
            <w:tcW w:w="7655" w:type="dxa"/>
          </w:tcPr>
          <w:p w14:paraId="69E09F80" w14:textId="263A109C"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Úpravy</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podsúvahové položky (t. j. konverzia podsúvahových expozícií na ekvivalentnú výšku úveru)</w:t>
            </w:r>
          </w:p>
          <w:p w14:paraId="69E09F81" w14:textId="1050B99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rozdiel</w:t>
            </w:r>
            <w:r w:rsidR="00E036ED">
              <w:rPr>
                <w:rFonts w:ascii="Times New Roman" w:hAnsi="Times New Roman"/>
                <w:sz w:val="24"/>
              </w:rPr>
              <w:t xml:space="preserve"> v </w:t>
            </w:r>
            <w:r w:rsidRPr="00E036ED">
              <w:rPr>
                <w:rFonts w:ascii="Times New Roman" w:hAnsi="Times New Roman"/>
                <w:sz w:val="24"/>
              </w:rPr>
              <w:t>hodnote medzi expozíciou ukazovateľa finančnej páky, ako je zverejnená</w:t>
            </w:r>
            <w:r w:rsidR="00E036ED">
              <w:rPr>
                <w:rFonts w:ascii="Times New Roman" w:hAnsi="Times New Roman"/>
                <w:sz w:val="24"/>
              </w:rPr>
              <w:t xml:space="preserve"> v </w:t>
            </w:r>
            <w:r w:rsidRPr="00E036ED">
              <w:rPr>
                <w:rFonts w:ascii="Times New Roman" w:hAnsi="Times New Roman"/>
                <w:sz w:val="24"/>
              </w:rPr>
              <w:t>riadku 13 vzoru EU LR1 – LRSum,</w:t>
            </w:r>
            <w:r w:rsidR="00E036ED">
              <w:rPr>
                <w:rFonts w:ascii="Times New Roman" w:hAnsi="Times New Roman"/>
                <w:sz w:val="24"/>
              </w:rPr>
              <w:t xml:space="preserve"> a </w:t>
            </w:r>
            <w:r w:rsidRPr="00E036ED">
              <w:rPr>
                <w:rFonts w:ascii="Times New Roman" w:hAnsi="Times New Roman"/>
                <w:sz w:val="24"/>
              </w:rPr>
              <w:t>celkovými účtovnými aktívami, ako sú zverejnené</w:t>
            </w:r>
            <w:r w:rsidR="00E036ED">
              <w:rPr>
                <w:rFonts w:ascii="Times New Roman" w:hAnsi="Times New Roman"/>
                <w:sz w:val="24"/>
              </w:rPr>
              <w:t xml:space="preserve"> v </w:t>
            </w:r>
            <w:r w:rsidRPr="00E036ED">
              <w:rPr>
                <w:rFonts w:ascii="Times New Roman" w:hAnsi="Times New Roman"/>
                <w:sz w:val="24"/>
              </w:rPr>
              <w:t>riadku 1 vzoru EU LR1</w:t>
            </w:r>
            <w:r w:rsidR="00E036ED">
              <w:rPr>
                <w:rFonts w:ascii="Times New Roman" w:hAnsi="Times New Roman"/>
                <w:sz w:val="24"/>
              </w:rPr>
              <w:t> </w:t>
            </w:r>
            <w:r w:rsidRPr="00E036ED">
              <w:rPr>
                <w:rFonts w:ascii="Times New Roman" w:hAnsi="Times New Roman"/>
                <w:sz w:val="24"/>
              </w:rPr>
              <w:t>– LRSum, ktorý je výsledkom zahrnutia podsúvahových položiek do veľkosti celkovej expozície ukazovateľa finančnej páky.</w:t>
            </w:r>
          </w:p>
          <w:p w14:paraId="69E09F82" w14:textId="43840523"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To zahŕňa prísľuby na úhradu</w:t>
            </w:r>
            <w:r w:rsidR="00E036ED">
              <w:rPr>
                <w:rFonts w:ascii="Times New Roman" w:hAnsi="Times New Roman"/>
                <w:sz w:val="24"/>
              </w:rPr>
              <w:t xml:space="preserve"> v </w:t>
            </w:r>
            <w:r w:rsidRPr="00E036ED">
              <w:rPr>
                <w:rFonts w:ascii="Times New Roman" w:hAnsi="Times New Roman"/>
                <w:sz w:val="24"/>
              </w:rPr>
              <w:t>súvislosti</w:t>
            </w:r>
            <w:r w:rsidR="00E036ED">
              <w:rPr>
                <w:rFonts w:ascii="Times New Roman" w:hAnsi="Times New Roman"/>
                <w:sz w:val="24"/>
              </w:rPr>
              <w:t xml:space="preserve"> s </w:t>
            </w:r>
            <w:r w:rsidRPr="00E036ED">
              <w:rPr>
                <w:rFonts w:ascii="Times New Roman" w:hAnsi="Times New Roman"/>
                <w:sz w:val="24"/>
              </w:rPr>
              <w:t>bežnými nákupmi</w:t>
            </w:r>
            <w:r w:rsidR="00E036ED">
              <w:rPr>
                <w:rFonts w:ascii="Times New Roman" w:hAnsi="Times New Roman"/>
                <w:sz w:val="24"/>
              </w:rPr>
              <w:t xml:space="preserve"> v </w:t>
            </w:r>
            <w:r w:rsidRPr="00E036ED">
              <w:rPr>
                <w:rFonts w:ascii="Times New Roman" w:hAnsi="Times New Roman"/>
                <w:sz w:val="24"/>
              </w:rPr>
              <w:t>rámci účtovania</w:t>
            </w:r>
            <w:r w:rsidR="00E036ED">
              <w:rPr>
                <w:rFonts w:ascii="Times New Roman" w:hAnsi="Times New Roman"/>
                <w:sz w:val="24"/>
              </w:rPr>
              <w:t xml:space="preserve"> k </w:t>
            </w:r>
            <w:r w:rsidRPr="00E036ED">
              <w:rPr>
                <w:rFonts w:ascii="Times New Roman" w:hAnsi="Times New Roman"/>
                <w:sz w:val="24"/>
              </w:rPr>
              <w:t>dátumu vyrovnania vypočítané</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429g ods. 3 nariadenia (EÚ) </w:t>
            </w:r>
            <w:r w:rsidR="00E036ED">
              <w:rPr>
                <w:rFonts w:ascii="Times New Roman" w:hAnsi="Times New Roman"/>
                <w:sz w:val="24"/>
              </w:rPr>
              <w:t>č. </w:t>
            </w:r>
            <w:r w:rsidRPr="00E036ED">
              <w:rPr>
                <w:rFonts w:ascii="Times New Roman" w:hAnsi="Times New Roman"/>
                <w:sz w:val="24"/>
              </w:rPr>
              <w:t>575/2013.</w:t>
            </w:r>
          </w:p>
          <w:p w14:paraId="69E09F83"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táto úprava zväčšuje veľkosť celkovej expozície, zverejňuje sa ako kladná hodnota.</w:t>
            </w:r>
          </w:p>
        </w:tc>
      </w:tr>
      <w:tr w:rsidR="002312DE" w:rsidRPr="00E036ED" w14:paraId="69E09F89" w14:textId="77777777" w:rsidTr="5E9D3914">
        <w:trPr>
          <w:trHeight w:val="983"/>
        </w:trPr>
        <w:tc>
          <w:tcPr>
            <w:tcW w:w="1384" w:type="dxa"/>
            <w:vAlign w:val="center"/>
          </w:tcPr>
          <w:p w14:paraId="69E09F85"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11</w:t>
            </w:r>
          </w:p>
        </w:tc>
        <w:tc>
          <w:tcPr>
            <w:tcW w:w="7655" w:type="dxa"/>
          </w:tcPr>
          <w:p w14:paraId="69E09F86" w14:textId="1F6D56F0"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úpravy prudenciálneho oceňovania</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špecifické</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všeobecné rezervy, ktorými sa znížil kapitál Tier 1)</w:t>
            </w:r>
          </w:p>
          <w:p w14:paraId="30ED607E" w14:textId="4DB11BCC" w:rsidR="00E036ED" w:rsidRDefault="00646595" w:rsidP="17C07D06">
            <w:pPr>
              <w:pStyle w:val="Teksttreci0"/>
              <w:shd w:val="clear" w:color="auto" w:fill="auto"/>
              <w:spacing w:after="120" w:line="240" w:lineRule="auto"/>
              <w:ind w:firstLine="0"/>
              <w:rPr>
                <w:rFonts w:ascii="Times New Roman" w:hAnsi="Times New Roman"/>
                <w:sz w:val="24"/>
              </w:rPr>
            </w:pPr>
            <w:r w:rsidRPr="00E036ED">
              <w:rPr>
                <w:rStyle w:val="TeksttreciPogrubienie"/>
                <w:rFonts w:ascii="Times New Roman" w:hAnsi="Times New Roman"/>
                <w:b w:val="0"/>
                <w:color w:val="auto"/>
                <w:sz w:val="24"/>
              </w:rPr>
              <w:t>Inštitúcie zverejňujú výšku úprav prudenciálneho oceňovania</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súlade</w:t>
            </w:r>
            <w:r w:rsidR="00E036ED">
              <w:rPr>
                <w:rStyle w:val="TeksttreciPogrubienie"/>
                <w:rFonts w:ascii="Times New Roman" w:hAnsi="Times New Roman"/>
                <w:b w:val="0"/>
                <w:color w:val="auto"/>
                <w:sz w:val="24"/>
              </w:rPr>
              <w:t xml:space="preserve"> s </w:t>
            </w:r>
            <w:r w:rsidRPr="00E036ED">
              <w:rPr>
                <w:rStyle w:val="TeksttreciPogrubienie"/>
                <w:rFonts w:ascii="Times New Roman" w:hAnsi="Times New Roman"/>
                <w:b w:val="0"/>
                <w:color w:val="auto"/>
                <w:sz w:val="24"/>
              </w:rPr>
              <w:t>článkom 429a ods. 1 písm. a)</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 xml:space="preserve">b) nariadenia (EÚ) </w:t>
            </w:r>
            <w:r w:rsidR="00E036ED">
              <w:rPr>
                <w:rStyle w:val="TeksttreciPogrubienie"/>
                <w:rFonts w:ascii="Times New Roman" w:hAnsi="Times New Roman"/>
                <w:b w:val="0"/>
                <w:color w:val="auto"/>
                <w:sz w:val="24"/>
              </w:rPr>
              <w:t>č. </w:t>
            </w:r>
            <w:r w:rsidRPr="00E036ED">
              <w:rPr>
                <w:rStyle w:val="TeksttreciPogrubienie"/>
                <w:rFonts w:ascii="Times New Roman" w:hAnsi="Times New Roman"/>
                <w:b w:val="0"/>
                <w:color w:val="auto"/>
                <w:sz w:val="24"/>
              </w:rPr>
              <w:t>575/2013</w:t>
            </w:r>
            <w:r w:rsidR="00E036ED">
              <w:rPr>
                <w:rStyle w:val="TeksttreciPogrubienie"/>
                <w:rFonts w:ascii="Times New Roman" w:hAnsi="Times New Roman"/>
                <w:b w:val="0"/>
                <w:color w:val="auto"/>
                <w:sz w:val="24"/>
              </w:rPr>
              <w:t xml:space="preserve"> a </w:t>
            </w:r>
            <w:r w:rsidRPr="00E036ED">
              <w:rPr>
                <w:rFonts w:ascii="Times New Roman" w:hAnsi="Times New Roman"/>
                <w:sz w:val="24"/>
              </w:rPr>
              <w:t>výšku osobitných (ak je to relevantné)</w:t>
            </w:r>
            <w:r w:rsidR="00E036ED">
              <w:rPr>
                <w:rFonts w:ascii="Times New Roman" w:hAnsi="Times New Roman"/>
                <w:sz w:val="24"/>
              </w:rPr>
              <w:t xml:space="preserve"> a </w:t>
            </w:r>
            <w:r w:rsidRPr="00E036ED">
              <w:rPr>
                <w:rFonts w:ascii="Times New Roman" w:hAnsi="Times New Roman"/>
                <w:sz w:val="24"/>
              </w:rPr>
              <w:t>všeobecných úprav kreditného rizika súvahových</w:t>
            </w:r>
            <w:r w:rsidR="00E036ED">
              <w:rPr>
                <w:rFonts w:ascii="Times New Roman" w:hAnsi="Times New Roman"/>
                <w:sz w:val="24"/>
              </w:rPr>
              <w:t xml:space="preserve"> a </w:t>
            </w:r>
            <w:r w:rsidRPr="00E036ED">
              <w:rPr>
                <w:rFonts w:ascii="Times New Roman" w:hAnsi="Times New Roman"/>
                <w:sz w:val="24"/>
              </w:rPr>
              <w:t>podsúvahových položiek podľa článku 429 ods. 4 poslednej vety</w:t>
            </w:r>
            <w:r w:rsidR="00E036ED">
              <w:rPr>
                <w:rFonts w:ascii="Times New Roman" w:hAnsi="Times New Roman"/>
                <w:sz w:val="24"/>
              </w:rPr>
              <w:t xml:space="preserve"> a </w:t>
            </w:r>
            <w:r w:rsidRPr="00E036ED">
              <w:rPr>
                <w:rFonts w:ascii="Times New Roman" w:hAnsi="Times New Roman"/>
                <w:sz w:val="24"/>
              </w:rPr>
              <w:t xml:space="preserve">článku 429f ods. 2 </w:t>
            </w:r>
            <w:r w:rsidRPr="00E036ED">
              <w:rPr>
                <w:rStyle w:val="TeksttreciPogrubienie"/>
                <w:rFonts w:ascii="Times New Roman" w:hAnsi="Times New Roman"/>
                <w:b w:val="0"/>
                <w:color w:val="auto"/>
                <w:sz w:val="24"/>
              </w:rPr>
              <w:t xml:space="preserve">nariadenia (EÚ) </w:t>
            </w:r>
            <w:r w:rsidR="00E036ED">
              <w:rPr>
                <w:rStyle w:val="TeksttreciPogrubienie"/>
                <w:rFonts w:ascii="Times New Roman" w:hAnsi="Times New Roman"/>
                <w:b w:val="0"/>
                <w:color w:val="auto"/>
                <w:sz w:val="24"/>
              </w:rPr>
              <w:t>č. </w:t>
            </w:r>
            <w:r w:rsidRPr="00E036ED">
              <w:rPr>
                <w:rStyle w:val="TeksttreciPogrubienie"/>
                <w:rFonts w:ascii="Times New Roman" w:hAnsi="Times New Roman"/>
                <w:b w:val="0"/>
                <w:color w:val="auto"/>
                <w:sz w:val="24"/>
              </w:rPr>
              <w:t>575/2013, ktorými sa znížil kapitál Tier 1</w:t>
            </w:r>
            <w:r w:rsidRPr="00E036ED">
              <w:rPr>
                <w:rFonts w:ascii="Times New Roman" w:hAnsi="Times New Roman"/>
                <w:sz w:val="24"/>
              </w:rPr>
              <w:t>. Špecifické rezervy sa zahrnú len vtedy, ak</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uplatniteľným účtovným rámcom ešte neboli odpočítané od hrubej účtovnej </w:t>
            </w:r>
            <w:r w:rsidRPr="00E036ED">
              <w:rPr>
                <w:rFonts w:ascii="Times New Roman" w:hAnsi="Times New Roman"/>
                <w:sz w:val="24"/>
              </w:rPr>
              <w:lastRenderedPageBreak/>
              <w:t>hodnoty</w:t>
            </w:r>
            <w:r w:rsidR="00E036ED">
              <w:rPr>
                <w:rFonts w:ascii="Times New Roman" w:hAnsi="Times New Roman"/>
                <w:sz w:val="24"/>
              </w:rPr>
              <w:t>.</w:t>
            </w:r>
          </w:p>
          <w:p w14:paraId="69E09F88" w14:textId="00CA9CD3"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E036ED">
              <w:rPr>
                <w:rFonts w:ascii="Times New Roman" w:hAnsi="Times New Roman"/>
                <w:sz w:val="24"/>
              </w:rPr>
              <w:t>Keďže táto úprava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8F" w14:textId="77777777" w:rsidTr="5E9D3914">
        <w:trPr>
          <w:trHeight w:val="2265"/>
        </w:trPr>
        <w:tc>
          <w:tcPr>
            <w:tcW w:w="1384" w:type="dxa"/>
            <w:vAlign w:val="center"/>
          </w:tcPr>
          <w:p w14:paraId="69E09F8A"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EU-11a</w:t>
            </w:r>
          </w:p>
        </w:tc>
        <w:tc>
          <w:tcPr>
            <w:tcW w:w="7655" w:type="dxa"/>
          </w:tcPr>
          <w:p w14:paraId="69E09F8B" w14:textId="433C6621"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expozície vylúčené</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veľkosti celkovej expozície</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súlade</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článkom 429a ods. 1 písm. c)</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ca) CRR]</w:t>
            </w:r>
          </w:p>
          <w:p w14:paraId="69E09F8C" w14:textId="03EDCF7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Článok 429a ods. 1 písm. c)</w:t>
            </w:r>
            <w:r w:rsidR="00E036ED">
              <w:rPr>
                <w:rFonts w:ascii="Times New Roman" w:hAnsi="Times New Roman"/>
                <w:sz w:val="24"/>
              </w:rPr>
              <w:t xml:space="preserve"> a </w:t>
            </w:r>
            <w:r w:rsidRPr="00E036ED">
              <w:rPr>
                <w:rFonts w:ascii="Times New Roman" w:hAnsi="Times New Roman"/>
                <w:sz w:val="24"/>
              </w:rPr>
              <w:t>ca)</w:t>
            </w:r>
            <w:r w:rsidR="00E036ED">
              <w:rPr>
                <w:rFonts w:ascii="Times New Roman" w:hAnsi="Times New Roman"/>
                <w:sz w:val="24"/>
              </w:rPr>
              <w:t xml:space="preserve"> a </w:t>
            </w:r>
            <w:r w:rsidRPr="00E036ED">
              <w:rPr>
                <w:rFonts w:ascii="Times New Roman" w:hAnsi="Times New Roman"/>
                <w:sz w:val="24"/>
              </w:rPr>
              <w:t>článok 113 ods. 6</w:t>
            </w:r>
            <w:r w:rsidR="00E036ED">
              <w:rPr>
                <w:rFonts w:ascii="Times New Roman" w:hAnsi="Times New Roman"/>
                <w:sz w:val="24"/>
              </w:rPr>
              <w:t xml:space="preserve"> a </w:t>
            </w:r>
            <w:r w:rsidRPr="00E036ED">
              <w:rPr>
                <w:rFonts w:ascii="Times New Roman" w:hAnsi="Times New Roman"/>
                <w:sz w:val="24"/>
              </w:rPr>
              <w:t xml:space="preserve">7 nariadenia (EÚ) </w:t>
            </w:r>
            <w:r w:rsidR="00E036ED">
              <w:rPr>
                <w:rFonts w:ascii="Times New Roman" w:hAnsi="Times New Roman"/>
                <w:sz w:val="24"/>
              </w:rPr>
              <w:t>č. </w:t>
            </w:r>
            <w:r w:rsidRPr="00E036ED">
              <w:rPr>
                <w:rFonts w:ascii="Times New Roman" w:hAnsi="Times New Roman"/>
                <w:sz w:val="24"/>
              </w:rPr>
              <w:t>575/2013.</w:t>
            </w:r>
          </w:p>
          <w:p w14:paraId="69E09F8D" w14:textId="0434DED4"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súvahovú časť expozícií vylúčených</w:t>
            </w:r>
            <w:r w:rsidR="00E036ED">
              <w:rPr>
                <w:rFonts w:ascii="Times New Roman" w:hAnsi="Times New Roman"/>
                <w:sz w:val="24"/>
              </w:rPr>
              <w:t xml:space="preserve"> z </w:t>
            </w:r>
            <w:r w:rsidRPr="00E036ED">
              <w:rPr>
                <w:rFonts w:ascii="Times New Roman" w:hAnsi="Times New Roman"/>
                <w:sz w:val="24"/>
              </w:rPr>
              <w:t>veľkosti celkovej expozície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c) nariadenia (EÚ) </w:t>
            </w:r>
            <w:r w:rsidR="00E036ED">
              <w:rPr>
                <w:rFonts w:ascii="Times New Roman" w:hAnsi="Times New Roman"/>
                <w:sz w:val="24"/>
              </w:rPr>
              <w:t>č. </w:t>
            </w:r>
            <w:r w:rsidRPr="00E036ED">
              <w:rPr>
                <w:rFonts w:ascii="Times New Roman" w:hAnsi="Times New Roman"/>
                <w:sz w:val="24"/>
              </w:rPr>
              <w:t>575/2013.</w:t>
            </w:r>
          </w:p>
          <w:p w14:paraId="69E09F8E" w14:textId="6B150600"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táto úprava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95" w14:textId="77777777" w:rsidTr="5E9D3914">
        <w:trPr>
          <w:trHeight w:val="2265"/>
        </w:trPr>
        <w:tc>
          <w:tcPr>
            <w:tcW w:w="1384" w:type="dxa"/>
            <w:vAlign w:val="center"/>
          </w:tcPr>
          <w:p w14:paraId="69E09F90"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EU-11b</w:t>
            </w:r>
          </w:p>
        </w:tc>
        <w:tc>
          <w:tcPr>
            <w:tcW w:w="7655" w:type="dxa"/>
          </w:tcPr>
          <w:p w14:paraId="69E09F91" w14:textId="62B435F9"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expozície vylúčené</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veľkosti celkovej expozície</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súlade</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článkom 429a ods. 1 písm. j) CRR]</w:t>
            </w:r>
          </w:p>
          <w:p w14:paraId="69E09F92" w14:textId="0D936186"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Článok 429a ods. 1 písm. j), článok 116 ods. 4 nariadenia (EÚ) </w:t>
            </w:r>
            <w:r w:rsidR="00E036ED">
              <w:rPr>
                <w:rFonts w:ascii="Times New Roman" w:hAnsi="Times New Roman"/>
                <w:sz w:val="24"/>
              </w:rPr>
              <w:t>č. </w:t>
            </w:r>
            <w:r w:rsidRPr="00E036ED">
              <w:rPr>
                <w:rFonts w:ascii="Times New Roman" w:hAnsi="Times New Roman"/>
                <w:sz w:val="24"/>
              </w:rPr>
              <w:t>575/2013.</w:t>
            </w:r>
          </w:p>
          <w:p w14:paraId="69E09F93" w14:textId="2AAC1972"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súvahovú časť expozícií vylúčených</w:t>
            </w:r>
            <w:r w:rsidR="00E036ED">
              <w:rPr>
                <w:rFonts w:ascii="Times New Roman" w:hAnsi="Times New Roman"/>
                <w:sz w:val="24"/>
              </w:rPr>
              <w:t xml:space="preserve"> z </w:t>
            </w:r>
            <w:r w:rsidRPr="00E036ED">
              <w:rPr>
                <w:rFonts w:ascii="Times New Roman" w:hAnsi="Times New Roman"/>
                <w:sz w:val="24"/>
              </w:rPr>
              <w:t>veľkosti celkovej expozície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j) nariadenia (EÚ) </w:t>
            </w:r>
            <w:r w:rsidR="00E036ED">
              <w:rPr>
                <w:rFonts w:ascii="Times New Roman" w:hAnsi="Times New Roman"/>
                <w:sz w:val="24"/>
              </w:rPr>
              <w:t>č. </w:t>
            </w:r>
            <w:r w:rsidRPr="00E036ED">
              <w:rPr>
                <w:rFonts w:ascii="Times New Roman" w:hAnsi="Times New Roman"/>
                <w:sz w:val="24"/>
              </w:rPr>
              <w:t>575/2013.</w:t>
            </w:r>
          </w:p>
          <w:p w14:paraId="69E09F94" w14:textId="149604F4"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táto úprava znižuje veľkosť celkovej expozície, inštitúcie uvádzajú hodnoty zverejnené</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9A" w14:textId="77777777" w:rsidTr="5E9D3914">
        <w:trPr>
          <w:trHeight w:val="2265"/>
        </w:trPr>
        <w:tc>
          <w:tcPr>
            <w:tcW w:w="1384" w:type="dxa"/>
            <w:vAlign w:val="center"/>
          </w:tcPr>
          <w:p w14:paraId="69E09F96"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12</w:t>
            </w:r>
          </w:p>
        </w:tc>
        <w:tc>
          <w:tcPr>
            <w:tcW w:w="7655" w:type="dxa"/>
          </w:tcPr>
          <w:p w14:paraId="69E09F97"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sidRPr="00E036ED">
              <w:rPr>
                <w:rStyle w:val="TeksttreciPogrubienie"/>
                <w:rFonts w:ascii="Times New Roman" w:hAnsi="Times New Roman"/>
                <w:color w:val="auto"/>
                <w:sz w:val="24"/>
              </w:rPr>
              <w:t>Ostatné úpravy</w:t>
            </w:r>
          </w:p>
          <w:p w14:paraId="69E09F98" w14:textId="300EC96C" w:rsidR="00646595" w:rsidRPr="00E036ED"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Fonts w:ascii="Times New Roman" w:hAnsi="Times New Roman"/>
                <w:sz w:val="24"/>
              </w:rPr>
              <w:t>Inštitúcie zahŕňajú akýkoľvek zostávajúci rozdiel</w:t>
            </w:r>
            <w:r w:rsidR="00E036ED">
              <w:rPr>
                <w:rFonts w:ascii="Times New Roman" w:hAnsi="Times New Roman"/>
                <w:sz w:val="24"/>
              </w:rPr>
              <w:t xml:space="preserve"> v </w:t>
            </w:r>
            <w:r w:rsidRPr="00E036ED">
              <w:rPr>
                <w:rFonts w:ascii="Times New Roman" w:hAnsi="Times New Roman"/>
                <w:sz w:val="24"/>
              </w:rPr>
              <w:t>hodnote medzi veľkosťou celkovej expozície</w:t>
            </w:r>
            <w:r w:rsidR="00E036ED">
              <w:rPr>
                <w:rFonts w:ascii="Times New Roman" w:hAnsi="Times New Roman"/>
                <w:sz w:val="24"/>
              </w:rPr>
              <w:t xml:space="preserve"> a </w:t>
            </w:r>
            <w:r w:rsidRPr="00E036ED">
              <w:rPr>
                <w:rFonts w:ascii="Times New Roman" w:hAnsi="Times New Roman"/>
                <w:sz w:val="24"/>
              </w:rPr>
              <w:t xml:space="preserve">celkovými účtovnými aktívami. Inštitúcie zohľadňujú </w:t>
            </w:r>
            <w:r w:rsidRPr="00E036ED">
              <w:rPr>
                <w:rStyle w:val="TeksttreciPogrubienie"/>
                <w:rFonts w:ascii="Times New Roman" w:hAnsi="Times New Roman"/>
                <w:b w:val="0"/>
                <w:color w:val="auto"/>
                <w:sz w:val="24"/>
              </w:rPr>
              <w:t>úpravy expozície</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súlade</w:t>
            </w:r>
            <w:r w:rsidR="00E036ED">
              <w:rPr>
                <w:rStyle w:val="TeksttreciPogrubienie"/>
                <w:rFonts w:ascii="Times New Roman" w:hAnsi="Times New Roman"/>
                <w:b w:val="0"/>
                <w:color w:val="auto"/>
                <w:sz w:val="24"/>
              </w:rPr>
              <w:t xml:space="preserve"> s </w:t>
            </w:r>
            <w:r w:rsidRPr="00E036ED">
              <w:rPr>
                <w:rStyle w:val="TeksttreciPogrubienie"/>
                <w:rFonts w:ascii="Times New Roman" w:hAnsi="Times New Roman"/>
                <w:b w:val="0"/>
                <w:color w:val="auto"/>
                <w:sz w:val="24"/>
              </w:rPr>
              <w:t>článkom</w:t>
            </w:r>
            <w:r w:rsidRPr="00E036ED">
              <w:rPr>
                <w:rStyle w:val="TeksttreciPogrubienie"/>
                <w:rFonts w:ascii="Times New Roman" w:hAnsi="Times New Roman"/>
                <w:color w:val="auto"/>
                <w:sz w:val="24"/>
              </w:rPr>
              <w:t xml:space="preserve"> 429 ods. 8</w:t>
            </w:r>
            <w:r w:rsidRPr="00E036ED">
              <w:rPr>
                <w:rFonts w:ascii="Times New Roman" w:hAnsi="Times New Roman"/>
                <w:sz w:val="24"/>
              </w:rPr>
              <w:t xml:space="preserve">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w:t>
            </w:r>
            <w:r w:rsidRPr="00E036ED">
              <w:rPr>
                <w:rStyle w:val="TeksttreciPogrubienie"/>
                <w:rFonts w:ascii="Times New Roman" w:hAnsi="Times New Roman"/>
                <w:color w:val="auto"/>
                <w:sz w:val="24"/>
              </w:rPr>
              <w:t>ostatné úpravy expozícií uvedené</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článku 429a ods. 1 písm. ca), d), da), e), f), h), k), l), o), p), q)</w:t>
            </w:r>
            <w:r w:rsidRPr="00E036ED">
              <w:rPr>
                <w:rFonts w:ascii="Times New Roman" w:hAnsi="Times New Roman"/>
                <w:sz w:val="24"/>
              </w:rPr>
              <w:t xml:space="preserve"> nariadenia (EÚ) </w:t>
            </w:r>
            <w:r w:rsidR="00E036ED">
              <w:rPr>
                <w:rFonts w:ascii="Times New Roman" w:hAnsi="Times New Roman"/>
                <w:sz w:val="24"/>
              </w:rPr>
              <w:t>č. </w:t>
            </w:r>
            <w:r w:rsidRPr="00E036ED">
              <w:rPr>
                <w:rFonts w:ascii="Times New Roman" w:hAnsi="Times New Roman"/>
                <w:sz w:val="24"/>
              </w:rPr>
              <w:t xml:space="preserve">575/2013, </w:t>
            </w:r>
            <w:r w:rsidRPr="00E036ED">
              <w:rPr>
                <w:rStyle w:val="TeksttreciPogrubienie"/>
                <w:rFonts w:ascii="Times New Roman" w:hAnsi="Times New Roman"/>
                <w:color w:val="auto"/>
                <w:sz w:val="24"/>
              </w:rPr>
              <w:t>ktoré nie sú zverejnené nikde vo vzore.</w:t>
            </w:r>
          </w:p>
          <w:p w14:paraId="69E09F99" w14:textId="0219B41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 tieto úpravy vedú</w:t>
            </w:r>
            <w:r w:rsidR="00E036ED">
              <w:rPr>
                <w:rFonts w:ascii="Times New Roman" w:hAnsi="Times New Roman"/>
                <w:sz w:val="24"/>
              </w:rPr>
              <w:t xml:space="preserve"> k </w:t>
            </w:r>
            <w:r w:rsidRPr="00E036ED">
              <w:rPr>
                <w:rFonts w:ascii="Times New Roman" w:hAnsi="Times New Roman"/>
                <w:sz w:val="24"/>
              </w:rPr>
              <w:t>zväčšeniu expozície, inštitúcie to zverejňujú ako kladnú hodnotu. Ak tieto úpravy vedú</w:t>
            </w:r>
            <w:r w:rsidR="00E036ED">
              <w:rPr>
                <w:rFonts w:ascii="Times New Roman" w:hAnsi="Times New Roman"/>
                <w:sz w:val="24"/>
              </w:rPr>
              <w:t xml:space="preserve"> k </w:t>
            </w:r>
            <w:r w:rsidRPr="00E036ED">
              <w:rPr>
                <w:rFonts w:ascii="Times New Roman" w:hAnsi="Times New Roman"/>
                <w:sz w:val="24"/>
              </w:rPr>
              <w:t>zmenšeniu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646595" w:rsidRPr="00E036ED" w14:paraId="69E09F9E" w14:textId="77777777" w:rsidTr="5E9D3914">
        <w:trPr>
          <w:trHeight w:val="1015"/>
        </w:trPr>
        <w:tc>
          <w:tcPr>
            <w:tcW w:w="1384" w:type="dxa"/>
            <w:vAlign w:val="center"/>
          </w:tcPr>
          <w:p w14:paraId="69E09F9B" w14:textId="77777777" w:rsidR="00646595" w:rsidRPr="00E036ED" w:rsidRDefault="00646595" w:rsidP="00E9371F">
            <w:pPr>
              <w:pStyle w:val="Applicationdirecte"/>
              <w:spacing w:before="0"/>
              <w:jc w:val="center"/>
            </w:pPr>
            <w:r w:rsidRPr="00E036ED">
              <w:t>13</w:t>
            </w:r>
          </w:p>
        </w:tc>
        <w:tc>
          <w:tcPr>
            <w:tcW w:w="7655" w:type="dxa"/>
          </w:tcPr>
          <w:p w14:paraId="69E09F9C"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Veľkosť celkovej expozície</w:t>
            </w:r>
          </w:p>
          <w:p w14:paraId="69E09F9D" w14:textId="5831FDD9"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Veľkosť celkovej expozície (zverejnená aj</w:t>
            </w:r>
            <w:r w:rsidR="00E036ED">
              <w:rPr>
                <w:rFonts w:ascii="Times New Roman" w:hAnsi="Times New Roman"/>
                <w:sz w:val="24"/>
              </w:rPr>
              <w:t xml:space="preserve"> v </w:t>
            </w:r>
            <w:r w:rsidRPr="00E036ED">
              <w:rPr>
                <w:rFonts w:ascii="Times New Roman" w:hAnsi="Times New Roman"/>
                <w:sz w:val="24"/>
              </w:rPr>
              <w:t>riadku 24 vzoru EU LR2 – LRCom), ktorá je súčtom predchádzajúcich položiek.</w:t>
            </w:r>
          </w:p>
        </w:tc>
      </w:tr>
    </w:tbl>
    <w:p w14:paraId="69E09F9F" w14:textId="77777777" w:rsidR="00646595" w:rsidRPr="00E036ED" w:rsidRDefault="00646595" w:rsidP="00646595">
      <w:pPr>
        <w:spacing w:after="120"/>
        <w:rPr>
          <w:rFonts w:ascii="Times New Roman" w:hAnsi="Times New Roman" w:cs="Times New Roman"/>
          <w:sz w:val="24"/>
        </w:rPr>
      </w:pPr>
    </w:p>
    <w:p w14:paraId="69E09FA0" w14:textId="7BD51064" w:rsidR="00646595" w:rsidRPr="00E036ED"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2" w:name="bookmark12"/>
      <w:r w:rsidRPr="00E036ED">
        <w:rPr>
          <w:rFonts w:ascii="Times New Roman" w:hAnsi="Times New Roman"/>
          <w:sz w:val="24"/>
        </w:rPr>
        <w:t>Vzor EU LR2 – LRCom: Harmonizované zverejňovanie ukazovateľa finančnej páky</w:t>
      </w:r>
      <w:bookmarkEnd w:id="2"/>
      <w:r w:rsidRPr="00E036ED">
        <w:rPr>
          <w:rFonts w:ascii="Times New Roman" w:hAnsi="Times New Roman"/>
          <w:sz w:val="24"/>
        </w:rPr>
        <w:t xml:space="preserve">. </w:t>
      </w:r>
      <w:r w:rsidRPr="00E036ED">
        <w:rPr>
          <w:rFonts w:ascii="Times New Roman" w:hAnsi="Times New Roman"/>
          <w:b w:val="0"/>
          <w:sz w:val="24"/>
        </w:rPr>
        <w:t>Vzor</w:t>
      </w:r>
      <w:r w:rsidR="00E036ED">
        <w:rPr>
          <w:rFonts w:ascii="Times New Roman" w:hAnsi="Times New Roman"/>
          <w:b w:val="0"/>
          <w:sz w:val="24"/>
        </w:rPr>
        <w:t xml:space="preserve"> s </w:t>
      </w:r>
      <w:r w:rsidRPr="00E036ED">
        <w:rPr>
          <w:rFonts w:ascii="Times New Roman" w:hAnsi="Times New Roman"/>
          <w:b w:val="0"/>
          <w:sz w:val="24"/>
        </w:rPr>
        <w:t>pevným formátom</w:t>
      </w:r>
    </w:p>
    <w:p w14:paraId="69E09FA1" w14:textId="50BE193E" w:rsidR="00646595" w:rsidRPr="00E036ED" w:rsidRDefault="00646595" w:rsidP="00646595">
      <w:pPr>
        <w:pStyle w:val="ListParagraph"/>
        <w:numPr>
          <w:ilvl w:val="0"/>
          <w:numId w:val="6"/>
        </w:numPr>
        <w:spacing w:after="120"/>
        <w:ind w:left="426"/>
        <w:jc w:val="both"/>
        <w:rPr>
          <w:rFonts w:ascii="Times New Roman" w:hAnsi="Times New Roman"/>
          <w:sz w:val="24"/>
          <w:szCs w:val="24"/>
        </w:rPr>
      </w:pPr>
      <w:r w:rsidRPr="00E036ED">
        <w:rPr>
          <w:rFonts w:ascii="Times New Roman" w:hAnsi="Times New Roman"/>
          <w:sz w:val="24"/>
        </w:rPr>
        <w:t>Inštitúcie uplatňujú pokyny uvedené</w:t>
      </w:r>
      <w:r w:rsidR="00E036ED">
        <w:rPr>
          <w:rFonts w:ascii="Times New Roman" w:hAnsi="Times New Roman"/>
          <w:sz w:val="24"/>
        </w:rPr>
        <w:t xml:space="preserve"> v </w:t>
      </w:r>
      <w:r w:rsidRPr="00E036ED">
        <w:rPr>
          <w:rFonts w:ascii="Times New Roman" w:hAnsi="Times New Roman"/>
          <w:sz w:val="24"/>
        </w:rPr>
        <w:t>tomto oddiele na vyplnenie vzoru EU LR2 – LRCom pri uplatňovaní článku 451 ods. 1 písm. a)</w:t>
      </w:r>
      <w:r w:rsidR="00E036ED">
        <w:rPr>
          <w:rFonts w:ascii="Times New Roman" w:hAnsi="Times New Roman"/>
          <w:sz w:val="24"/>
        </w:rPr>
        <w:t xml:space="preserve"> a </w:t>
      </w:r>
      <w:r w:rsidRPr="00E036ED">
        <w:rPr>
          <w:rFonts w:ascii="Times New Roman" w:hAnsi="Times New Roman"/>
          <w:sz w:val="24"/>
        </w:rPr>
        <w:t xml:space="preserve">b)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w:t>
      </w:r>
      <w:r w:rsidRPr="00E036ED">
        <w:rPr>
          <w:rFonts w:ascii="Times New Roman" w:hAnsi="Times New Roman"/>
          <w:sz w:val="24"/>
        </w:rPr>
        <w:t xml:space="preserve">článku 451 ods. 3 nariadenia (EÚ) </w:t>
      </w:r>
      <w:r w:rsidR="00E036ED">
        <w:rPr>
          <w:rFonts w:ascii="Times New Roman" w:hAnsi="Times New Roman"/>
          <w:sz w:val="24"/>
        </w:rPr>
        <w:t>č. </w:t>
      </w:r>
      <w:r w:rsidRPr="00E036ED">
        <w:rPr>
          <w:rFonts w:ascii="Times New Roman" w:hAnsi="Times New Roman"/>
          <w:sz w:val="24"/>
        </w:rPr>
        <w:t>575/2013, pričom prípadne zohľadňujú článok 451 ods. 1 písm. c)</w:t>
      </w:r>
      <w:r w:rsidR="00E036ED">
        <w:rPr>
          <w:rFonts w:ascii="Times New Roman" w:hAnsi="Times New Roman"/>
          <w:sz w:val="24"/>
        </w:rPr>
        <w:t xml:space="preserve"> a </w:t>
      </w:r>
      <w:r w:rsidRPr="00E036ED">
        <w:rPr>
          <w:rFonts w:ascii="Times New Roman" w:hAnsi="Times New Roman"/>
          <w:sz w:val="24"/>
        </w:rPr>
        <w:t xml:space="preserve">článok 451 ods. 2 nariadenia (EÚ) </w:t>
      </w:r>
      <w:r w:rsidR="00E036ED">
        <w:rPr>
          <w:rFonts w:ascii="Times New Roman" w:hAnsi="Times New Roman"/>
          <w:sz w:val="24"/>
        </w:rPr>
        <w:t>č. </w:t>
      </w:r>
      <w:r w:rsidRPr="00E036ED">
        <w:rPr>
          <w:rFonts w:ascii="Times New Roman" w:hAnsi="Times New Roman"/>
          <w:sz w:val="24"/>
        </w:rPr>
        <w:t>575/2013.</w:t>
      </w:r>
    </w:p>
    <w:p w14:paraId="69E09FA2" w14:textId="63775675" w:rsidR="00646595" w:rsidRPr="00E036ED" w:rsidRDefault="00646595" w:rsidP="00646595">
      <w:pPr>
        <w:pStyle w:val="ListParagraph"/>
        <w:numPr>
          <w:ilvl w:val="0"/>
          <w:numId w:val="6"/>
        </w:numPr>
        <w:spacing w:after="120"/>
        <w:ind w:left="426"/>
        <w:jc w:val="both"/>
        <w:rPr>
          <w:rFonts w:ascii="Times New Roman" w:hAnsi="Times New Roman"/>
          <w:sz w:val="24"/>
          <w:szCs w:val="24"/>
        </w:rPr>
      </w:pPr>
      <w:r w:rsidRPr="00E036ED">
        <w:rPr>
          <w:rFonts w:ascii="Times New Roman" w:hAnsi="Times New Roman"/>
          <w:sz w:val="24"/>
        </w:rPr>
        <w:lastRenderedPageBreak/>
        <w:t>Inštitúcie zverejňujú</w:t>
      </w:r>
      <w:r w:rsidR="00E036ED">
        <w:rPr>
          <w:rFonts w:ascii="Times New Roman" w:hAnsi="Times New Roman"/>
          <w:sz w:val="24"/>
        </w:rPr>
        <w:t xml:space="preserve"> v </w:t>
      </w:r>
      <w:r w:rsidRPr="00E036ED">
        <w:rPr>
          <w:rFonts w:ascii="Times New Roman" w:hAnsi="Times New Roman"/>
          <w:sz w:val="24"/>
        </w:rPr>
        <w:t>stĺpci</w:t>
      </w:r>
      <w:r w:rsidR="00E036ED">
        <w:rPr>
          <w:rFonts w:ascii="Times New Roman" w:hAnsi="Times New Roman"/>
          <w:sz w:val="24"/>
        </w:rPr>
        <w:t xml:space="preserve"> a </w:t>
      </w:r>
      <w:r w:rsidRPr="00E036ED">
        <w:rPr>
          <w:rFonts w:ascii="Times New Roman" w:hAnsi="Times New Roman"/>
          <w:sz w:val="24"/>
        </w:rPr>
        <w:t>hodnoty jednotlivých riadkov pre dané obdobie zverejňovania informácií</w:t>
      </w:r>
      <w:r w:rsidR="00E036ED">
        <w:rPr>
          <w:rFonts w:ascii="Times New Roman" w:hAnsi="Times New Roman"/>
          <w:sz w:val="24"/>
        </w:rPr>
        <w:t xml:space="preserve"> a v </w:t>
      </w:r>
      <w:r w:rsidRPr="00E036ED">
        <w:rPr>
          <w:rFonts w:ascii="Times New Roman" w:hAnsi="Times New Roman"/>
          <w:sz w:val="24"/>
        </w:rPr>
        <w:t>stĺpci b hodnoty riadkov za predchádzajúce obdobie zverejňovania informácií.</w:t>
      </w:r>
    </w:p>
    <w:p w14:paraId="69E09FA3" w14:textId="57418639" w:rsidR="00646595" w:rsidRPr="00E036ED" w:rsidRDefault="00646595" w:rsidP="00646595">
      <w:pPr>
        <w:pStyle w:val="ListParagraph"/>
        <w:numPr>
          <w:ilvl w:val="0"/>
          <w:numId w:val="6"/>
        </w:numPr>
        <w:spacing w:after="120"/>
        <w:ind w:left="426"/>
        <w:jc w:val="both"/>
        <w:rPr>
          <w:rFonts w:ascii="Times New Roman" w:hAnsi="Times New Roman"/>
          <w:sz w:val="24"/>
        </w:rPr>
      </w:pPr>
      <w:r w:rsidRPr="00E036ED">
        <w:rPr>
          <w:rFonts w:ascii="Times New Roman" w:hAnsi="Times New Roman"/>
          <w:sz w:val="24"/>
        </w:rPr>
        <w:t>Inštitúcie</w:t>
      </w:r>
      <w:r w:rsidR="00E036ED">
        <w:rPr>
          <w:rFonts w:ascii="Times New Roman" w:hAnsi="Times New Roman"/>
          <w:sz w:val="24"/>
        </w:rPr>
        <w:t xml:space="preserve"> v </w:t>
      </w:r>
      <w:r w:rsidRPr="00E036ED">
        <w:rPr>
          <w:rFonts w:ascii="Times New Roman" w:hAnsi="Times New Roman"/>
          <w:sz w:val="24"/>
        </w:rPr>
        <w:t>opise sprevádzajúcom vzor vysvetlia zloženie podporných úverov zverejnených</w:t>
      </w:r>
      <w:r w:rsidR="00E036ED">
        <w:rPr>
          <w:rFonts w:ascii="Times New Roman" w:hAnsi="Times New Roman"/>
          <w:sz w:val="24"/>
        </w:rPr>
        <w:t xml:space="preserve"> v </w:t>
      </w:r>
      <w:r w:rsidRPr="00E036ED">
        <w:rPr>
          <w:rFonts w:ascii="Times New Roman" w:hAnsi="Times New Roman"/>
          <w:sz w:val="24"/>
        </w:rPr>
        <w:t>riadkoch EU-22d</w:t>
      </w:r>
      <w:r w:rsidR="00E036ED">
        <w:rPr>
          <w:rFonts w:ascii="Times New Roman" w:hAnsi="Times New Roman"/>
          <w:sz w:val="24"/>
        </w:rPr>
        <w:t xml:space="preserve"> a </w:t>
      </w:r>
      <w:r w:rsidRPr="00E036ED">
        <w:rPr>
          <w:rFonts w:ascii="Times New Roman" w:hAnsi="Times New Roman"/>
          <w:sz w:val="24"/>
        </w:rPr>
        <w:t>EU-22e tohto vzoru vrátane informácií podľa druhu protistrany.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E036ED"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C61480B" w:rsidR="00646595" w:rsidRPr="00E036ED" w:rsidRDefault="00646595" w:rsidP="00E9371F">
            <w:pPr>
              <w:spacing w:after="120"/>
              <w:rPr>
                <w:rFonts w:ascii="Times New Roman" w:hAnsi="Times New Roman" w:cs="Times New Roman"/>
                <w:b/>
                <w:sz w:val="24"/>
              </w:rPr>
            </w:pPr>
            <w:r w:rsidRPr="00E036ED">
              <w:rPr>
                <w:rFonts w:ascii="Times New Roman" w:hAnsi="Times New Roman"/>
                <w:b/>
                <w:sz w:val="24"/>
              </w:rPr>
              <w:t>Odkazy na právne predpisy</w:t>
            </w:r>
            <w:r w:rsidR="00E036ED">
              <w:rPr>
                <w:rFonts w:ascii="Times New Roman" w:hAnsi="Times New Roman"/>
                <w:b/>
                <w:sz w:val="24"/>
              </w:rPr>
              <w:t xml:space="preserve"> a </w:t>
            </w:r>
            <w:r w:rsidRPr="00E036ED">
              <w:rPr>
                <w:rFonts w:ascii="Times New Roman" w:hAnsi="Times New Roman"/>
                <w:b/>
                <w:sz w:val="24"/>
              </w:rPr>
              <w:t>pokyny</w:t>
            </w:r>
          </w:p>
        </w:tc>
      </w:tr>
      <w:tr w:rsidR="002312DE" w:rsidRPr="00E036ED" w14:paraId="69E09FA8" w14:textId="77777777" w:rsidTr="009F3999">
        <w:trPr>
          <w:trHeight w:val="238"/>
        </w:trPr>
        <w:tc>
          <w:tcPr>
            <w:tcW w:w="1380" w:type="dxa"/>
            <w:shd w:val="clear" w:color="auto" w:fill="D9D9D9" w:themeFill="background1" w:themeFillShade="D9"/>
          </w:tcPr>
          <w:p w14:paraId="69E09FA6" w14:textId="77777777" w:rsidR="00646595" w:rsidRPr="00E036ED" w:rsidRDefault="00646595" w:rsidP="00E9371F">
            <w:pPr>
              <w:autoSpaceDE w:val="0"/>
              <w:autoSpaceDN w:val="0"/>
              <w:adjustRightInd w:val="0"/>
              <w:spacing w:after="120"/>
              <w:rPr>
                <w:rFonts w:ascii="Times New Roman" w:hAnsi="Times New Roman" w:cs="Times New Roman"/>
                <w:b/>
                <w:sz w:val="24"/>
              </w:rPr>
            </w:pPr>
            <w:r w:rsidRPr="00E036ED">
              <w:rPr>
                <w:rFonts w:ascii="Times New Roman" w:hAnsi="Times New Roman"/>
                <w:b/>
                <w:sz w:val="24"/>
              </w:rPr>
              <w:t>Číslo riadku</w:t>
            </w:r>
          </w:p>
        </w:tc>
        <w:tc>
          <w:tcPr>
            <w:tcW w:w="7659" w:type="dxa"/>
            <w:shd w:val="clear" w:color="auto" w:fill="D9D9D9" w:themeFill="background1" w:themeFillShade="D9"/>
          </w:tcPr>
          <w:p w14:paraId="69E09FA7" w14:textId="77777777" w:rsidR="00646595" w:rsidRPr="00E036ED" w:rsidRDefault="00646595" w:rsidP="00E9371F">
            <w:pPr>
              <w:autoSpaceDE w:val="0"/>
              <w:autoSpaceDN w:val="0"/>
              <w:adjustRightInd w:val="0"/>
              <w:spacing w:after="120"/>
              <w:rPr>
                <w:rFonts w:ascii="Times New Roman" w:hAnsi="Times New Roman" w:cs="Times New Roman"/>
                <w:sz w:val="24"/>
              </w:rPr>
            </w:pPr>
            <w:r w:rsidRPr="00E036ED">
              <w:rPr>
                <w:rFonts w:ascii="Times New Roman" w:hAnsi="Times New Roman"/>
                <w:b/>
                <w:sz w:val="24"/>
              </w:rPr>
              <w:t>Vysvetlenie</w:t>
            </w:r>
          </w:p>
        </w:tc>
      </w:tr>
      <w:tr w:rsidR="002312DE" w:rsidRPr="00E036ED" w14:paraId="69E09FB0" w14:textId="77777777" w:rsidTr="009F3999">
        <w:trPr>
          <w:trHeight w:val="708"/>
        </w:trPr>
        <w:tc>
          <w:tcPr>
            <w:tcW w:w="1380" w:type="dxa"/>
            <w:vAlign w:val="center"/>
          </w:tcPr>
          <w:p w14:paraId="69E09FA9"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w:t>
            </w:r>
          </w:p>
        </w:tc>
        <w:tc>
          <w:tcPr>
            <w:tcW w:w="7659" w:type="dxa"/>
          </w:tcPr>
          <w:p w14:paraId="69E09FAA" w14:textId="4E550F1E"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Súvahové položky (bez derivátov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SFT, no vrátane kolaterálu)</w:t>
            </w:r>
          </w:p>
          <w:p w14:paraId="69E09FAB" w14:textId="2156C966"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Články 429</w:t>
            </w:r>
            <w:r w:rsidR="00E036ED">
              <w:rPr>
                <w:rFonts w:ascii="Times New Roman" w:hAnsi="Times New Roman"/>
                <w:sz w:val="24"/>
              </w:rPr>
              <w:t xml:space="preserve"> a </w:t>
            </w:r>
            <w:r w:rsidRPr="00E036ED">
              <w:rPr>
                <w:rFonts w:ascii="Times New Roman" w:hAnsi="Times New Roman"/>
                <w:sz w:val="24"/>
              </w:rPr>
              <w:t xml:space="preserve">429b nariadenia (EÚ) </w:t>
            </w:r>
            <w:r w:rsidR="00E036ED">
              <w:rPr>
                <w:rFonts w:ascii="Times New Roman" w:hAnsi="Times New Roman"/>
                <w:sz w:val="24"/>
              </w:rPr>
              <w:t>č. </w:t>
            </w:r>
            <w:r w:rsidRPr="00E036ED">
              <w:rPr>
                <w:rFonts w:ascii="Times New Roman" w:hAnsi="Times New Roman"/>
                <w:sz w:val="24"/>
              </w:rPr>
              <w:t>575/2013.</w:t>
            </w:r>
          </w:p>
          <w:p w14:paraId="761802EB" w14:textId="6BFEC1A7"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Fonts w:ascii="Times New Roman" w:hAnsi="Times New Roman"/>
                <w:sz w:val="24"/>
              </w:rPr>
              <w:t>Inštitúcie zverejňujú všetky aktíva okrem zmlúv uvedených</w:t>
            </w:r>
            <w:r w:rsidR="00E036ED">
              <w:rPr>
                <w:rFonts w:ascii="Times New Roman" w:hAnsi="Times New Roman"/>
                <w:sz w:val="24"/>
              </w:rPr>
              <w:t xml:space="preserve"> v </w:t>
            </w:r>
            <w:r w:rsidRPr="00E036ED">
              <w:rPr>
                <w:rFonts w:ascii="Times New Roman" w:hAnsi="Times New Roman"/>
                <w:sz w:val="24"/>
              </w:rPr>
              <w:t>prílohe II</w:t>
            </w:r>
            <w:r w:rsidR="00E036ED">
              <w:rPr>
                <w:rFonts w:ascii="Times New Roman" w:hAnsi="Times New Roman"/>
                <w:sz w:val="24"/>
              </w:rPr>
              <w:t xml:space="preserve"> k </w:t>
            </w:r>
            <w:r w:rsidRPr="00E036ED">
              <w:rPr>
                <w:rFonts w:ascii="Times New Roman" w:hAnsi="Times New Roman"/>
                <w:sz w:val="24"/>
              </w:rPr>
              <w:t xml:space="preserve">nariadeniu (EÚ) </w:t>
            </w:r>
            <w:r w:rsidR="00E036ED">
              <w:rPr>
                <w:rFonts w:ascii="Times New Roman" w:hAnsi="Times New Roman"/>
                <w:sz w:val="24"/>
              </w:rPr>
              <w:t>č. </w:t>
            </w:r>
            <w:r w:rsidRPr="00E036ED">
              <w:rPr>
                <w:rFonts w:ascii="Times New Roman" w:hAnsi="Times New Roman"/>
                <w:sz w:val="24"/>
              </w:rPr>
              <w:t>575/2013, kreditných derivátov</w:t>
            </w:r>
            <w:r w:rsidR="00E036ED">
              <w:rPr>
                <w:rFonts w:ascii="Times New Roman" w:hAnsi="Times New Roman"/>
                <w:sz w:val="24"/>
              </w:rPr>
              <w:t xml:space="preserve"> a </w:t>
            </w:r>
            <w:r w:rsidRPr="00E036ED">
              <w:rPr>
                <w:rFonts w:ascii="Times New Roman" w:hAnsi="Times New Roman"/>
                <w:sz w:val="24"/>
              </w:rPr>
              <w:t>SFT. Inštitúcie pri oceňovaní týchto aktív vychádzajú zo zásad uvedených</w:t>
            </w:r>
            <w:r w:rsidR="00E036ED">
              <w:rPr>
                <w:rFonts w:ascii="Times New Roman" w:hAnsi="Times New Roman"/>
                <w:sz w:val="24"/>
              </w:rPr>
              <w:t xml:space="preserve"> v </w:t>
            </w:r>
            <w:r w:rsidRPr="00E036ED">
              <w:rPr>
                <w:rFonts w:ascii="Times New Roman" w:hAnsi="Times New Roman"/>
                <w:sz w:val="24"/>
              </w:rPr>
              <w:t>článku 429 ods. 7</w:t>
            </w:r>
            <w:r w:rsidR="00E036ED">
              <w:rPr>
                <w:rFonts w:ascii="Times New Roman" w:hAnsi="Times New Roman"/>
                <w:sz w:val="24"/>
              </w:rPr>
              <w:t xml:space="preserve"> a </w:t>
            </w:r>
            <w:r w:rsidRPr="00E036ED">
              <w:rPr>
                <w:rFonts w:ascii="Times New Roman" w:hAnsi="Times New Roman"/>
                <w:sz w:val="24"/>
              </w:rPr>
              <w:t xml:space="preserve">článku 429b ods. 1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w:t>
            </w:r>
          </w:p>
          <w:p w14:paraId="14388552" w14:textId="023C0F0A"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Fonts w:ascii="Times New Roman" w:hAnsi="Times New Roman"/>
                <w:sz w:val="24"/>
              </w:rPr>
              <w:t>Inštitúcie pri tomto výpočte zohľadňujú, ak je to uplatniteľné, článok 429a ods. 1 písm. i), m)</w:t>
            </w:r>
            <w:r w:rsidR="00E036ED">
              <w:rPr>
                <w:rFonts w:ascii="Times New Roman" w:hAnsi="Times New Roman"/>
                <w:sz w:val="24"/>
              </w:rPr>
              <w:t xml:space="preserve"> a </w:t>
            </w:r>
            <w:r w:rsidRPr="00E036ED">
              <w:rPr>
                <w:rFonts w:ascii="Times New Roman" w:hAnsi="Times New Roman"/>
                <w:sz w:val="24"/>
              </w:rPr>
              <w:t xml:space="preserve">n) nariadenia (EÚ) </w:t>
            </w:r>
            <w:r w:rsidR="00E036ED">
              <w:rPr>
                <w:rFonts w:ascii="Times New Roman" w:hAnsi="Times New Roman"/>
                <w:sz w:val="24"/>
              </w:rPr>
              <w:t>č. </w:t>
            </w:r>
            <w:r w:rsidRPr="00E036ED">
              <w:rPr>
                <w:rFonts w:ascii="Times New Roman" w:hAnsi="Times New Roman"/>
                <w:sz w:val="24"/>
              </w:rPr>
              <w:t>575/2013, článok 429g</w:t>
            </w:r>
            <w:r w:rsidR="00E036ED">
              <w:rPr>
                <w:rFonts w:ascii="Times New Roman" w:hAnsi="Times New Roman"/>
                <w:sz w:val="24"/>
              </w:rPr>
              <w:t xml:space="preserve"> a </w:t>
            </w:r>
            <w:r w:rsidRPr="00E036ED">
              <w:rPr>
                <w:rFonts w:ascii="Times New Roman" w:hAnsi="Times New Roman"/>
                <w:sz w:val="24"/>
              </w:rPr>
              <w:t xml:space="preserve">článok 429 ods. 4 posledný pododsek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w:t>
            </w:r>
          </w:p>
          <w:p w14:paraId="69E09FAE" w14:textId="0BC55428"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zahŕňajú prijatú peňažnú hotovosť alebo akýkoľvek cenný papier, ktorý je poskytnutý protistrane prostredníctvom SFT</w:t>
            </w:r>
            <w:r w:rsidR="00E036ED">
              <w:rPr>
                <w:rFonts w:ascii="Times New Roman" w:hAnsi="Times New Roman"/>
                <w:sz w:val="24"/>
              </w:rPr>
              <w:t xml:space="preserve"> a </w:t>
            </w:r>
            <w:r w:rsidRPr="00E036ED">
              <w:rPr>
                <w:rFonts w:ascii="Times New Roman" w:hAnsi="Times New Roman"/>
                <w:sz w:val="24"/>
              </w:rPr>
              <w:t>ktorý sa ponechal</w:t>
            </w:r>
            <w:r w:rsidR="00E036ED">
              <w:rPr>
                <w:rFonts w:ascii="Times New Roman" w:hAnsi="Times New Roman"/>
                <w:sz w:val="24"/>
              </w:rPr>
              <w:t xml:space="preserve"> v </w:t>
            </w:r>
            <w:r w:rsidRPr="00E036ED">
              <w:rPr>
                <w:rFonts w:ascii="Times New Roman" w:hAnsi="Times New Roman"/>
                <w:sz w:val="24"/>
              </w:rPr>
              <w:t>súvahe (t. j. nie sú splnené účtovné kritériá pre ukončenie vykazovania podľa uplatniteľného účtovného rámca).</w:t>
            </w:r>
          </w:p>
          <w:p w14:paraId="69E09FAF" w14:textId="51B90C5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pri tomto výpočte nezohľadňujú článok 429 ods. 8</w:t>
            </w:r>
            <w:r w:rsidR="00E036ED">
              <w:rPr>
                <w:rFonts w:ascii="Times New Roman" w:hAnsi="Times New Roman"/>
                <w:sz w:val="24"/>
              </w:rPr>
              <w:t xml:space="preserve"> a </w:t>
            </w:r>
            <w:r w:rsidRPr="00E036ED">
              <w:rPr>
                <w:rFonts w:ascii="Times New Roman" w:hAnsi="Times New Roman"/>
                <w:sz w:val="24"/>
              </w:rPr>
              <w:t>článok 429a ods. 1 písm. a) až h), j)</w:t>
            </w:r>
            <w:r w:rsidR="00E036ED">
              <w:rPr>
                <w:rFonts w:ascii="Times New Roman" w:hAnsi="Times New Roman"/>
                <w:sz w:val="24"/>
              </w:rPr>
              <w:t xml:space="preserve"> a </w:t>
            </w:r>
            <w:r w:rsidRPr="00E036ED">
              <w:rPr>
                <w:rFonts w:ascii="Times New Roman" w:hAnsi="Times New Roman"/>
                <w:sz w:val="24"/>
              </w:rPr>
              <w:t xml:space="preserve">k) nariadenia (EÚ) </w:t>
            </w:r>
            <w:r w:rsidR="00E036ED">
              <w:rPr>
                <w:rFonts w:ascii="Times New Roman" w:hAnsi="Times New Roman"/>
                <w:sz w:val="24"/>
              </w:rPr>
              <w:t>č. </w:t>
            </w:r>
            <w:r w:rsidRPr="00E036ED">
              <w:rPr>
                <w:rFonts w:ascii="Times New Roman" w:hAnsi="Times New Roman"/>
                <w:sz w:val="24"/>
              </w:rPr>
              <w:t>575/2013, t. j. neznižujú hodnotu, ktorá sa má zverejniť</w:t>
            </w:r>
            <w:r w:rsidR="00E036ED">
              <w:rPr>
                <w:rFonts w:ascii="Times New Roman" w:hAnsi="Times New Roman"/>
                <w:sz w:val="24"/>
              </w:rPr>
              <w:t xml:space="preserve"> v </w:t>
            </w:r>
            <w:r w:rsidRPr="00E036ED">
              <w:rPr>
                <w:rFonts w:ascii="Times New Roman" w:hAnsi="Times New Roman"/>
                <w:sz w:val="24"/>
              </w:rPr>
              <w:t xml:space="preserve">tomto riadku, na základe uvedených výnimiek. </w:t>
            </w:r>
          </w:p>
        </w:tc>
      </w:tr>
      <w:tr w:rsidR="002312DE" w:rsidRPr="00E036ED" w14:paraId="69E09FB6" w14:textId="77777777" w:rsidTr="009F3999">
        <w:trPr>
          <w:trHeight w:val="708"/>
        </w:trPr>
        <w:tc>
          <w:tcPr>
            <w:tcW w:w="1380" w:type="dxa"/>
            <w:vAlign w:val="center"/>
          </w:tcPr>
          <w:p w14:paraId="69E09FB1"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w:t>
            </w:r>
          </w:p>
        </w:tc>
        <w:tc>
          <w:tcPr>
            <w:tcW w:w="7659" w:type="dxa"/>
          </w:tcPr>
          <w:p w14:paraId="69E09FB2" w14:textId="5A53B5EC"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Navýšenie</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kolaterál poskytnutý</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súvislosti</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derivátmi, ak sa podľa uplatniteľného účtovného rámca odpočítava od súvahových aktív</w:t>
            </w:r>
          </w:p>
          <w:p w14:paraId="69E09FB3" w14:textId="21DD98E1"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 xml:space="preserve">Článok 429c ods. 2 nariadenia (EÚ) </w:t>
            </w:r>
            <w:r w:rsidR="00E036ED">
              <w:rPr>
                <w:rFonts w:ascii="Times New Roman" w:hAnsi="Times New Roman"/>
                <w:sz w:val="24"/>
              </w:rPr>
              <w:t>č. </w:t>
            </w:r>
            <w:r w:rsidRPr="00E036ED">
              <w:rPr>
                <w:rFonts w:ascii="Times New Roman" w:hAnsi="Times New Roman"/>
                <w:sz w:val="24"/>
              </w:rPr>
              <w:t>575/2013.</w:t>
            </w:r>
          </w:p>
          <w:p w14:paraId="69E09FB4" w14:textId="79BFE75A"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hodnotu akéhokoľvek kolaterálu poskytnutého</w:t>
            </w:r>
            <w:r w:rsidR="00E036ED">
              <w:rPr>
                <w:rFonts w:ascii="Times New Roman" w:hAnsi="Times New Roman"/>
                <w:sz w:val="24"/>
              </w:rPr>
              <w:t xml:space="preserve"> v </w:t>
            </w:r>
            <w:r w:rsidRPr="00E036ED">
              <w:rPr>
                <w:rFonts w:ascii="Times New Roman" w:hAnsi="Times New Roman"/>
                <w:sz w:val="24"/>
              </w:rPr>
              <w:t>súvislosti</w:t>
            </w:r>
            <w:r w:rsidR="00E036ED">
              <w:rPr>
                <w:rFonts w:ascii="Times New Roman" w:hAnsi="Times New Roman"/>
                <w:sz w:val="24"/>
              </w:rPr>
              <w:t xml:space="preserve"> s </w:t>
            </w:r>
            <w:r w:rsidRPr="00E036ED">
              <w:rPr>
                <w:rFonts w:ascii="Times New Roman" w:hAnsi="Times New Roman"/>
                <w:sz w:val="24"/>
              </w:rPr>
              <w:t>derivátmi, ak sa poskytnutím uvedeného kolaterálu znižuje hodnota aktív podľa uplatniteľného účtovného rámca, ako je stanovené</w:t>
            </w:r>
            <w:r w:rsidR="00E036ED">
              <w:rPr>
                <w:rFonts w:ascii="Times New Roman" w:hAnsi="Times New Roman"/>
                <w:sz w:val="24"/>
              </w:rPr>
              <w:t xml:space="preserve"> v </w:t>
            </w:r>
            <w:r w:rsidRPr="00E036ED">
              <w:rPr>
                <w:rFonts w:ascii="Times New Roman" w:hAnsi="Times New Roman"/>
                <w:sz w:val="24"/>
              </w:rPr>
              <w:t xml:space="preserve">článku 429c ods. 2 nariadenia (EÚ) </w:t>
            </w:r>
            <w:r w:rsidR="00E036ED">
              <w:rPr>
                <w:rFonts w:ascii="Times New Roman" w:hAnsi="Times New Roman"/>
                <w:sz w:val="24"/>
              </w:rPr>
              <w:t>č. </w:t>
            </w:r>
            <w:r w:rsidRPr="00E036ED">
              <w:rPr>
                <w:rFonts w:ascii="Times New Roman" w:hAnsi="Times New Roman"/>
                <w:sz w:val="24"/>
              </w:rPr>
              <w:t>575/2013.</w:t>
            </w:r>
          </w:p>
          <w:p w14:paraId="69E09FB5" w14:textId="006234D3"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Fonts w:ascii="Times New Roman" w:hAnsi="Times New Roman"/>
                <w:sz w:val="24"/>
              </w:rPr>
              <w:t>Inštitúcie do tejto bunky nezahŕňajú počiatočnú maržu pri derivátových transakciách zúčtovávaných klientom prostredníctvom kvalifikovanej centrálnej protistrany (QCCP), ani prípustnú hotovostnú variačnú maržu</w:t>
            </w:r>
            <w:r w:rsidR="00E036ED">
              <w:rPr>
                <w:rFonts w:ascii="Times New Roman" w:hAnsi="Times New Roman"/>
                <w:sz w:val="24"/>
              </w:rPr>
              <w:t xml:space="preserve"> v </w:t>
            </w:r>
            <w:r w:rsidRPr="00E036ED">
              <w:rPr>
                <w:rFonts w:ascii="Times New Roman" w:hAnsi="Times New Roman"/>
                <w:sz w:val="24"/>
              </w:rPr>
              <w:t>zmysle vymedzenia</w:t>
            </w:r>
            <w:r w:rsidR="00E036ED">
              <w:rPr>
                <w:rFonts w:ascii="Times New Roman" w:hAnsi="Times New Roman"/>
                <w:sz w:val="24"/>
              </w:rPr>
              <w:t xml:space="preserve"> v </w:t>
            </w:r>
            <w:r w:rsidRPr="00E036ED">
              <w:rPr>
                <w:rFonts w:ascii="Times New Roman" w:hAnsi="Times New Roman"/>
                <w:sz w:val="24"/>
              </w:rPr>
              <w:t xml:space="preserve">článku 429c ods. 3 nariadenia (EÚ) </w:t>
            </w:r>
            <w:r w:rsidR="00E036ED">
              <w:rPr>
                <w:rFonts w:ascii="Times New Roman" w:hAnsi="Times New Roman"/>
                <w:sz w:val="24"/>
              </w:rPr>
              <w:t>č. </w:t>
            </w:r>
            <w:r w:rsidRPr="00E036ED">
              <w:rPr>
                <w:rFonts w:ascii="Times New Roman" w:hAnsi="Times New Roman"/>
                <w:sz w:val="24"/>
              </w:rPr>
              <w:t>575/2013.</w:t>
            </w:r>
          </w:p>
        </w:tc>
      </w:tr>
      <w:tr w:rsidR="002312DE" w:rsidRPr="00E036ED" w14:paraId="69E09FBC" w14:textId="77777777" w:rsidTr="009F3999">
        <w:trPr>
          <w:trHeight w:val="708"/>
        </w:trPr>
        <w:tc>
          <w:tcPr>
            <w:tcW w:w="1380" w:type="dxa"/>
            <w:vAlign w:val="center"/>
          </w:tcPr>
          <w:p w14:paraId="69E09FB7"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3</w:t>
            </w:r>
          </w:p>
        </w:tc>
        <w:tc>
          <w:tcPr>
            <w:tcW w:w="7659" w:type="dxa"/>
          </w:tcPr>
          <w:p w14:paraId="69E09FB8" w14:textId="55C33750"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(Odpočty pohľadávok vykázaných ako aktíva pri hotovostnej variačnej marži poskytnutej</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derivátových transakciách)</w:t>
            </w:r>
          </w:p>
          <w:p w14:paraId="69E09FB9" w14:textId="25891C2D"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 xml:space="preserve">Článok 429c ods. 3 nariadenia (EÚ) </w:t>
            </w:r>
            <w:r w:rsidR="00E036ED">
              <w:rPr>
                <w:rFonts w:ascii="Times New Roman" w:hAnsi="Times New Roman"/>
                <w:sz w:val="24"/>
              </w:rPr>
              <w:t>č. </w:t>
            </w:r>
            <w:r w:rsidRPr="00E036ED">
              <w:rPr>
                <w:rFonts w:ascii="Times New Roman" w:hAnsi="Times New Roman"/>
                <w:sz w:val="24"/>
              </w:rPr>
              <w:t>575/2013.</w:t>
            </w:r>
          </w:p>
          <w:p w14:paraId="69E09FBA" w14:textId="6C8BBFD8"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pohľadávky pri variačnej marži zaplatenej</w:t>
            </w:r>
            <w:r w:rsidR="00E036ED">
              <w:rPr>
                <w:rFonts w:ascii="Times New Roman" w:hAnsi="Times New Roman"/>
                <w:sz w:val="24"/>
              </w:rPr>
              <w:t xml:space="preserve"> v </w:t>
            </w:r>
            <w:r w:rsidRPr="00E036ED">
              <w:rPr>
                <w:rFonts w:ascii="Times New Roman" w:hAnsi="Times New Roman"/>
                <w:sz w:val="24"/>
              </w:rPr>
              <w:t>hotovosti protistrane</w:t>
            </w:r>
            <w:r w:rsidR="00E036ED">
              <w:rPr>
                <w:rFonts w:ascii="Times New Roman" w:hAnsi="Times New Roman"/>
                <w:sz w:val="24"/>
              </w:rPr>
              <w:t xml:space="preserve"> v </w:t>
            </w:r>
            <w:r w:rsidRPr="00E036ED">
              <w:rPr>
                <w:rFonts w:ascii="Times New Roman" w:hAnsi="Times New Roman"/>
                <w:sz w:val="24"/>
              </w:rPr>
              <w:t xml:space="preserve">derivátových transakciách, ak sa od inštitúcie na základe uplatniteľného účtovného rámca vyžaduje, aby tieto pohľadávky vykázala ako </w:t>
            </w:r>
            <w:r w:rsidRPr="00E036ED">
              <w:rPr>
                <w:rFonts w:ascii="Times New Roman" w:hAnsi="Times New Roman"/>
                <w:sz w:val="24"/>
              </w:rPr>
              <w:lastRenderedPageBreak/>
              <w:t>aktívum, za predpokladu, že sú splnené podmienky uvedené</w:t>
            </w:r>
            <w:r w:rsidR="00E036ED">
              <w:rPr>
                <w:rFonts w:ascii="Times New Roman" w:hAnsi="Times New Roman"/>
                <w:sz w:val="24"/>
              </w:rPr>
              <w:t xml:space="preserve"> v </w:t>
            </w:r>
            <w:r w:rsidRPr="00E036ED">
              <w:rPr>
                <w:rFonts w:ascii="Times New Roman" w:hAnsi="Times New Roman"/>
                <w:sz w:val="24"/>
              </w:rPr>
              <w:t xml:space="preserve">článku 429c ods. 3 písm. a) až e) nariadenia (EÚ) </w:t>
            </w:r>
            <w:r w:rsidR="00E036ED">
              <w:rPr>
                <w:rFonts w:ascii="Times New Roman" w:hAnsi="Times New Roman"/>
                <w:sz w:val="24"/>
              </w:rPr>
              <w:t>č. </w:t>
            </w:r>
            <w:r w:rsidRPr="00E036ED">
              <w:rPr>
                <w:rFonts w:ascii="Times New Roman" w:hAnsi="Times New Roman"/>
                <w:sz w:val="24"/>
              </w:rPr>
              <w:t>575/2013.</w:t>
            </w:r>
          </w:p>
          <w:p w14:paraId="69E09FBB" w14:textId="7FA64827"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Fonts w:ascii="Times New Roman" w:hAnsi="Times New Roman"/>
                <w:sz w:val="24"/>
              </w:rPr>
              <w:t>Keďže táto úprava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C1" w14:textId="77777777" w:rsidTr="009F3999">
        <w:trPr>
          <w:trHeight w:val="1417"/>
        </w:trPr>
        <w:tc>
          <w:tcPr>
            <w:tcW w:w="1380" w:type="dxa"/>
            <w:vAlign w:val="center"/>
          </w:tcPr>
          <w:p w14:paraId="69E09FBD"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4</w:t>
            </w:r>
          </w:p>
        </w:tc>
        <w:tc>
          <w:tcPr>
            <w:tcW w:w="7659" w:type="dxa"/>
          </w:tcPr>
          <w:p w14:paraId="69E09FBE" w14:textId="6EE5AED9"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(Úprava</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cenné papiere prijaté</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rámci transakcií financovania prostredníctvom cenných papierov, ktoré sa vykazujú ako aktívum)</w:t>
            </w:r>
          </w:p>
          <w:p w14:paraId="69E09FBF" w14:textId="1C51E0D2"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Úprava</w:t>
            </w:r>
            <w:r w:rsidR="00E036ED">
              <w:rPr>
                <w:rStyle w:val="TeksttreciPogrubienie"/>
                <w:rFonts w:ascii="Times New Roman" w:hAnsi="Times New Roman"/>
                <w:b w:val="0"/>
                <w:color w:val="auto"/>
                <w:sz w:val="24"/>
              </w:rPr>
              <w:t xml:space="preserve"> o </w:t>
            </w:r>
            <w:r w:rsidRPr="00E036ED">
              <w:rPr>
                <w:rStyle w:val="TeksttreciPogrubienie"/>
                <w:rFonts w:ascii="Times New Roman" w:hAnsi="Times New Roman"/>
                <w:b w:val="0"/>
                <w:color w:val="auto"/>
                <w:sz w:val="24"/>
              </w:rPr>
              <w:t>cenné papiere prijaté</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rámci transakcie financovania prostredníctvom cenných papierov, pri ktorej banka vykázala cenné papiere vo svojej súvahe ako aktívum. Tieto hodnoty sa majú vylúčiť</w:t>
            </w:r>
            <w:r w:rsidR="00E036ED">
              <w:rPr>
                <w:rStyle w:val="TeksttreciPogrubienie"/>
                <w:rFonts w:ascii="Times New Roman" w:hAnsi="Times New Roman"/>
                <w:b w:val="0"/>
                <w:color w:val="auto"/>
                <w:sz w:val="24"/>
              </w:rPr>
              <w:t xml:space="preserve"> z </w:t>
            </w:r>
            <w:r w:rsidRPr="00E036ED">
              <w:rPr>
                <w:rStyle w:val="TeksttreciPogrubienie"/>
                <w:rFonts w:ascii="Times New Roman" w:hAnsi="Times New Roman"/>
                <w:b w:val="0"/>
                <w:color w:val="auto"/>
                <w:sz w:val="24"/>
              </w:rPr>
              <w:t>veľkosti celkovej expozície</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súlade</w:t>
            </w:r>
            <w:r w:rsidR="00E036ED">
              <w:rPr>
                <w:rStyle w:val="TeksttreciPogrubienie"/>
                <w:rFonts w:ascii="Times New Roman" w:hAnsi="Times New Roman"/>
                <w:b w:val="0"/>
                <w:color w:val="auto"/>
                <w:sz w:val="24"/>
              </w:rPr>
              <w:t xml:space="preserve"> s </w:t>
            </w:r>
            <w:r w:rsidRPr="00E036ED">
              <w:rPr>
                <w:rStyle w:val="TeksttreciPogrubienie"/>
                <w:rFonts w:ascii="Times New Roman" w:hAnsi="Times New Roman"/>
                <w:b w:val="0"/>
                <w:color w:val="auto"/>
                <w:sz w:val="24"/>
              </w:rPr>
              <w:t>článkom 429e ods. 6</w:t>
            </w:r>
            <w:r w:rsidRPr="00E036ED">
              <w:rPr>
                <w:rFonts w:ascii="Times New Roman" w:hAnsi="Times New Roman"/>
                <w:sz w:val="24"/>
              </w:rPr>
              <w:t xml:space="preserve"> nariadenia (EÚ) </w:t>
            </w:r>
            <w:r w:rsidR="00E036ED">
              <w:rPr>
                <w:rFonts w:ascii="Times New Roman" w:hAnsi="Times New Roman"/>
                <w:sz w:val="24"/>
              </w:rPr>
              <w:t>č. </w:t>
            </w:r>
            <w:r w:rsidRPr="00E036ED">
              <w:rPr>
                <w:rFonts w:ascii="Times New Roman" w:hAnsi="Times New Roman"/>
                <w:sz w:val="24"/>
              </w:rPr>
              <w:t>575/2013</w:t>
            </w:r>
            <w:r w:rsidRPr="00E036ED">
              <w:rPr>
                <w:rStyle w:val="TeksttreciPogrubienie"/>
                <w:rFonts w:ascii="Times New Roman" w:hAnsi="Times New Roman"/>
                <w:b w:val="0"/>
                <w:color w:val="auto"/>
                <w:sz w:val="24"/>
              </w:rPr>
              <w:t>.</w:t>
            </w:r>
          </w:p>
          <w:p w14:paraId="69E09FC0" w14:textId="48A2C3A7"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Keďže úpravami uvedenými</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tomto riadku sa znižuje veľkosť celkovej expozície, inštitúcie uvádzajú hodnotu zverejnenú</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tomto riadku</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zátvorkách (záporná hodnota).</w:t>
            </w:r>
          </w:p>
        </w:tc>
      </w:tr>
      <w:tr w:rsidR="002312DE" w:rsidRPr="00E036ED" w14:paraId="69E09FC6" w14:textId="77777777" w:rsidTr="009F3999">
        <w:trPr>
          <w:trHeight w:val="1417"/>
        </w:trPr>
        <w:tc>
          <w:tcPr>
            <w:tcW w:w="1380" w:type="dxa"/>
            <w:vAlign w:val="center"/>
          </w:tcPr>
          <w:p w14:paraId="69E09FC2"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5</w:t>
            </w:r>
          </w:p>
        </w:tc>
        <w:tc>
          <w:tcPr>
            <w:tcW w:w="7659" w:type="dxa"/>
          </w:tcPr>
          <w:p w14:paraId="69E09FC3" w14:textId="77777777"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(Všeobecné úpravy kreditného rizika súvahových položiek)</w:t>
            </w:r>
          </w:p>
          <w:p w14:paraId="69E09FC4" w14:textId="1E54FD4E"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Suma všeobecných úprav kreditného rizika</w:t>
            </w:r>
            <w:r w:rsidR="00E036ED">
              <w:rPr>
                <w:rStyle w:val="TeksttreciPogrubienie"/>
                <w:rFonts w:ascii="Times New Roman" w:hAnsi="Times New Roman"/>
                <w:b w:val="0"/>
                <w:color w:val="auto"/>
                <w:sz w:val="24"/>
              </w:rPr>
              <w:t xml:space="preserve"> o </w:t>
            </w:r>
            <w:r w:rsidRPr="00E036ED">
              <w:rPr>
                <w:rStyle w:val="TeksttreciPogrubienie"/>
                <w:rFonts w:ascii="Times New Roman" w:hAnsi="Times New Roman"/>
                <w:b w:val="0"/>
                <w:color w:val="auto"/>
                <w:sz w:val="24"/>
              </w:rPr>
              <w:t>zodpovedajúce súvahové položky uvedené</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článku 429 ods. 4 písm. a)</w:t>
            </w:r>
            <w:r w:rsidRPr="00E036ED">
              <w:rPr>
                <w:rFonts w:ascii="Times New Roman" w:hAnsi="Times New Roman"/>
                <w:sz w:val="24"/>
              </w:rPr>
              <w:t xml:space="preserve"> nariadenia (EÚ) </w:t>
            </w:r>
            <w:r w:rsidR="00E036ED">
              <w:rPr>
                <w:rFonts w:ascii="Times New Roman" w:hAnsi="Times New Roman"/>
                <w:sz w:val="24"/>
              </w:rPr>
              <w:t>č. </w:t>
            </w:r>
            <w:r w:rsidRPr="00E036ED">
              <w:rPr>
                <w:rFonts w:ascii="Times New Roman" w:hAnsi="Times New Roman"/>
                <w:sz w:val="24"/>
              </w:rPr>
              <w:t>575/2013</w:t>
            </w:r>
            <w:r w:rsidRPr="00E036ED">
              <w:rPr>
                <w:rStyle w:val="TeksttreciPogrubienie"/>
                <w:rFonts w:ascii="Times New Roman" w:hAnsi="Times New Roman"/>
                <w:b w:val="0"/>
                <w:color w:val="auto"/>
                <w:sz w:val="24"/>
              </w:rPr>
              <w:t>, ktoré inštitúcie odpočítavajú</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súlade</w:t>
            </w:r>
            <w:r w:rsidR="00E036ED">
              <w:rPr>
                <w:rStyle w:val="TeksttreciPogrubienie"/>
                <w:rFonts w:ascii="Times New Roman" w:hAnsi="Times New Roman"/>
                <w:b w:val="0"/>
                <w:color w:val="auto"/>
                <w:sz w:val="24"/>
              </w:rPr>
              <w:t xml:space="preserve"> s </w:t>
            </w:r>
            <w:r w:rsidRPr="00E036ED">
              <w:rPr>
                <w:rStyle w:val="TeksttreciPogrubienie"/>
                <w:rFonts w:ascii="Times New Roman" w:hAnsi="Times New Roman"/>
                <w:b w:val="0"/>
                <w:color w:val="auto"/>
                <w:sz w:val="24"/>
              </w:rPr>
              <w:t>článkom 429 ods. 4 posledným pododsekom</w:t>
            </w:r>
            <w:r w:rsidRPr="00E036ED">
              <w:rPr>
                <w:rFonts w:ascii="Times New Roman" w:hAnsi="Times New Roman"/>
                <w:sz w:val="24"/>
              </w:rPr>
              <w:t xml:space="preserve"> nariadenia (EÚ) </w:t>
            </w:r>
            <w:r w:rsidR="00E036ED">
              <w:rPr>
                <w:rFonts w:ascii="Times New Roman" w:hAnsi="Times New Roman"/>
                <w:sz w:val="24"/>
              </w:rPr>
              <w:t>č. </w:t>
            </w:r>
            <w:r w:rsidRPr="00E036ED">
              <w:rPr>
                <w:rFonts w:ascii="Times New Roman" w:hAnsi="Times New Roman"/>
                <w:sz w:val="24"/>
              </w:rPr>
              <w:t>575/2013</w:t>
            </w:r>
            <w:r w:rsidRPr="00E036ED">
              <w:rPr>
                <w:rStyle w:val="TeksttreciPogrubienie"/>
                <w:rFonts w:ascii="Times New Roman" w:hAnsi="Times New Roman"/>
                <w:b w:val="0"/>
                <w:color w:val="auto"/>
                <w:sz w:val="24"/>
              </w:rPr>
              <w:t>.</w:t>
            </w:r>
          </w:p>
          <w:p w14:paraId="69E09FC5" w14:textId="7FAACA5A"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Keďže úpravami uvedenými</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tomto riadku sa znižuje veľkosť celkovej expozície, inštitúcie uvádzajú hodnotu zverejnenú</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tomto riadku</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zátvorkách (záporná hodnota).</w:t>
            </w:r>
          </w:p>
        </w:tc>
      </w:tr>
      <w:tr w:rsidR="002312DE" w:rsidRPr="00E036ED" w14:paraId="69E09FD3" w14:textId="77777777" w:rsidTr="009F3999">
        <w:trPr>
          <w:trHeight w:val="1417"/>
        </w:trPr>
        <w:tc>
          <w:tcPr>
            <w:tcW w:w="1380" w:type="dxa"/>
            <w:vAlign w:val="center"/>
          </w:tcPr>
          <w:p w14:paraId="69E09FC7"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6</w:t>
            </w:r>
          </w:p>
        </w:tc>
        <w:tc>
          <w:tcPr>
            <w:tcW w:w="7659" w:type="dxa"/>
          </w:tcPr>
          <w:p w14:paraId="69E09FC8"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(Sumy aktív odpočítané pri stanovovaní kapitálu Tier 1)</w:t>
            </w:r>
          </w:p>
          <w:p w14:paraId="69E09FC9" w14:textId="68A186AA"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 xml:space="preserve"> Článok 429a ods. 1 písm. a)</w:t>
            </w:r>
            <w:r w:rsidR="00E036ED">
              <w:rPr>
                <w:rFonts w:ascii="Times New Roman" w:hAnsi="Times New Roman"/>
                <w:sz w:val="24"/>
              </w:rPr>
              <w:t xml:space="preserve"> a </w:t>
            </w:r>
            <w:r w:rsidRPr="00E036ED">
              <w:rPr>
                <w:rFonts w:ascii="Times New Roman" w:hAnsi="Times New Roman"/>
                <w:sz w:val="24"/>
              </w:rPr>
              <w:t>b)</w:t>
            </w:r>
            <w:r w:rsidR="00E036ED">
              <w:rPr>
                <w:rFonts w:ascii="Times New Roman" w:hAnsi="Times New Roman"/>
                <w:sz w:val="24"/>
              </w:rPr>
              <w:t xml:space="preserve"> a </w:t>
            </w:r>
            <w:r w:rsidRPr="00E036ED">
              <w:rPr>
                <w:rFonts w:ascii="Times New Roman" w:hAnsi="Times New Roman"/>
                <w:sz w:val="24"/>
              </w:rPr>
              <w:t xml:space="preserve">článok 499 ods. 2 nariadenia (EÚ) </w:t>
            </w:r>
            <w:r w:rsidR="00E036ED">
              <w:rPr>
                <w:rFonts w:ascii="Times New Roman" w:hAnsi="Times New Roman"/>
                <w:sz w:val="24"/>
              </w:rPr>
              <w:t>č. </w:t>
            </w:r>
            <w:r w:rsidRPr="00E036ED">
              <w:rPr>
                <w:rFonts w:ascii="Times New Roman" w:hAnsi="Times New Roman"/>
                <w:sz w:val="24"/>
              </w:rPr>
              <w:t>575/2013.</w:t>
            </w:r>
          </w:p>
          <w:p w14:paraId="69E09FCA" w14:textId="0ECDBAF3"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výšku úprav regulatórnej hodnoty, ku ktorým došlo</w:t>
            </w:r>
            <w:r w:rsidR="00E036ED">
              <w:rPr>
                <w:rFonts w:ascii="Times New Roman" w:hAnsi="Times New Roman"/>
                <w:sz w:val="24"/>
              </w:rPr>
              <w:t xml:space="preserve"> v </w:t>
            </w:r>
            <w:r w:rsidRPr="00E036ED">
              <w:rPr>
                <w:rFonts w:ascii="Times New Roman" w:hAnsi="Times New Roman"/>
                <w:sz w:val="24"/>
              </w:rPr>
              <w:t>sumách Tier 1</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rozhodnutím, ktoré prijali podľa článku 499 ods. 2 nariadenia (EÚ) </w:t>
            </w:r>
            <w:r w:rsidR="00E036ED">
              <w:rPr>
                <w:rFonts w:ascii="Times New Roman" w:hAnsi="Times New Roman"/>
                <w:sz w:val="24"/>
              </w:rPr>
              <w:t>č. </w:t>
            </w:r>
            <w:r w:rsidRPr="00E036ED">
              <w:rPr>
                <w:rFonts w:ascii="Times New Roman" w:hAnsi="Times New Roman"/>
                <w:sz w:val="24"/>
              </w:rPr>
              <w:t>575/2013.</w:t>
            </w:r>
          </w:p>
          <w:p w14:paraId="69E09FCB" w14:textId="7893541E"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konkrétnejšie zverejňujú hodnotu súčtu všetkých úprav, ktoré sú zamerané na hodnotu aktíva</w:t>
            </w:r>
            <w:r w:rsidR="00E036ED">
              <w:rPr>
                <w:rFonts w:ascii="Times New Roman" w:hAnsi="Times New Roman"/>
                <w:sz w:val="24"/>
              </w:rPr>
              <w:t xml:space="preserve"> a </w:t>
            </w:r>
            <w:r w:rsidRPr="00E036ED">
              <w:rPr>
                <w:rFonts w:ascii="Times New Roman" w:hAnsi="Times New Roman"/>
                <w:sz w:val="24"/>
              </w:rPr>
              <w:t>ktoré sa vyžadujú na základe:</w:t>
            </w:r>
          </w:p>
          <w:p w14:paraId="69E09FCC" w14:textId="0CAA01FD" w:rsidR="00646595" w:rsidRPr="00E036ED"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článkov 32 až 35 nariadenia (EÚ) </w:t>
            </w:r>
            <w:r w:rsidR="00E036ED">
              <w:rPr>
                <w:rFonts w:ascii="Times New Roman" w:hAnsi="Times New Roman"/>
                <w:sz w:val="24"/>
              </w:rPr>
              <w:t>č. </w:t>
            </w:r>
            <w:r w:rsidRPr="00E036ED">
              <w:rPr>
                <w:rFonts w:ascii="Times New Roman" w:hAnsi="Times New Roman"/>
                <w:sz w:val="24"/>
              </w:rPr>
              <w:t>575/2013, alebo</w:t>
            </w:r>
          </w:p>
          <w:p w14:paraId="69E09FCD" w14:textId="3499C767" w:rsidR="00646595" w:rsidRPr="00E036ED"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článkov 36 až 47 nariadenia (EÚ) </w:t>
            </w:r>
            <w:r w:rsidR="00E036ED">
              <w:rPr>
                <w:rFonts w:ascii="Times New Roman" w:hAnsi="Times New Roman"/>
                <w:sz w:val="24"/>
              </w:rPr>
              <w:t>č. </w:t>
            </w:r>
            <w:r w:rsidRPr="00E036ED">
              <w:rPr>
                <w:rFonts w:ascii="Times New Roman" w:hAnsi="Times New Roman"/>
                <w:sz w:val="24"/>
              </w:rPr>
              <w:t>575/2013, alebo</w:t>
            </w:r>
          </w:p>
          <w:p w14:paraId="69E09FCE" w14:textId="73F583FE" w:rsidR="00646595" w:rsidRPr="00E036ED"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článkov 56 až 60 nariadenia (EÚ) </w:t>
            </w:r>
            <w:r w:rsidR="00E036ED">
              <w:rPr>
                <w:rFonts w:ascii="Times New Roman" w:hAnsi="Times New Roman"/>
                <w:sz w:val="24"/>
              </w:rPr>
              <w:t>č. </w:t>
            </w:r>
            <w:r w:rsidRPr="00E036ED">
              <w:rPr>
                <w:rFonts w:ascii="Times New Roman" w:hAnsi="Times New Roman"/>
                <w:sz w:val="24"/>
              </w:rPr>
              <w:t>575/2013, podľa konkrétneho prípadu.</w:t>
            </w:r>
          </w:p>
          <w:p w14:paraId="69E09FCF" w14:textId="191FA0B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zahrnú hodnotu uvedenú</w:t>
            </w:r>
            <w:r w:rsidR="00E036ED">
              <w:rPr>
                <w:rFonts w:ascii="Times New Roman" w:hAnsi="Times New Roman"/>
                <w:sz w:val="24"/>
              </w:rPr>
              <w:t xml:space="preserve"> v </w:t>
            </w:r>
            <w:r w:rsidRPr="00E036ED">
              <w:rPr>
                <w:rFonts w:ascii="Times New Roman" w:hAnsi="Times New Roman"/>
                <w:sz w:val="24"/>
              </w:rPr>
              <w:t xml:space="preserve">článku 429a ods. 1 písm. a) nariadenia (EÚ) </w:t>
            </w:r>
            <w:r w:rsidR="00E036ED">
              <w:rPr>
                <w:rFonts w:ascii="Times New Roman" w:hAnsi="Times New Roman"/>
                <w:sz w:val="24"/>
              </w:rPr>
              <w:t>č. </w:t>
            </w:r>
            <w:r w:rsidRPr="00E036ED">
              <w:rPr>
                <w:rFonts w:ascii="Times New Roman" w:hAnsi="Times New Roman"/>
                <w:sz w:val="24"/>
              </w:rPr>
              <w:t>575/2013.</w:t>
            </w:r>
          </w:p>
          <w:p w14:paraId="69E09FD0" w14:textId="7AE3A2D5"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w:t>
            </w:r>
            <w:r w:rsidR="00E036ED">
              <w:rPr>
                <w:rFonts w:ascii="Times New Roman" w:hAnsi="Times New Roman"/>
                <w:sz w:val="24"/>
              </w:rPr>
              <w:t xml:space="preserve"> k </w:t>
            </w:r>
            <w:r w:rsidRPr="00E036ED">
              <w:rPr>
                <w:rFonts w:ascii="Times New Roman" w:hAnsi="Times New Roman"/>
                <w:sz w:val="24"/>
              </w:rPr>
              <w:t>rozhodnutiu zverejniť kapitál Tier 1 dôjde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499 ods. 1 písm. a) nariadenia (EÚ) </w:t>
            </w:r>
            <w:r w:rsidR="00E036ED">
              <w:rPr>
                <w:rFonts w:ascii="Times New Roman" w:hAnsi="Times New Roman"/>
                <w:sz w:val="24"/>
              </w:rPr>
              <w:t>č. </w:t>
            </w:r>
            <w:r w:rsidRPr="00E036ED">
              <w:rPr>
                <w:rFonts w:ascii="Times New Roman" w:hAnsi="Times New Roman"/>
                <w:sz w:val="24"/>
              </w:rPr>
              <w:t>575/2013, inštitúcie zohľadňujú výnimky, alternatívy</w:t>
            </w:r>
            <w:r w:rsidR="00E036ED">
              <w:rPr>
                <w:rFonts w:ascii="Times New Roman" w:hAnsi="Times New Roman"/>
                <w:sz w:val="24"/>
              </w:rPr>
              <w:t xml:space="preserve"> a </w:t>
            </w:r>
            <w:r w:rsidRPr="00E036ED">
              <w:rPr>
                <w:rFonts w:ascii="Times New Roman" w:hAnsi="Times New Roman"/>
                <w:sz w:val="24"/>
              </w:rPr>
              <w:t>upustenia od takýchto odpočítaní stanovené</w:t>
            </w:r>
            <w:r w:rsidR="00E036ED">
              <w:rPr>
                <w:rFonts w:ascii="Times New Roman" w:hAnsi="Times New Roman"/>
                <w:sz w:val="24"/>
              </w:rPr>
              <w:t xml:space="preserve"> v </w:t>
            </w:r>
            <w:r w:rsidRPr="00E036ED">
              <w:rPr>
                <w:rFonts w:ascii="Times New Roman" w:hAnsi="Times New Roman"/>
                <w:sz w:val="24"/>
              </w:rPr>
              <w:t>článkoch 48, 49</w:t>
            </w:r>
            <w:r w:rsidR="00E036ED">
              <w:rPr>
                <w:rFonts w:ascii="Times New Roman" w:hAnsi="Times New Roman"/>
                <w:sz w:val="24"/>
              </w:rPr>
              <w:t xml:space="preserve"> a </w:t>
            </w:r>
            <w:r w:rsidRPr="00E036ED">
              <w:rPr>
                <w:rFonts w:ascii="Times New Roman" w:hAnsi="Times New Roman"/>
                <w:sz w:val="24"/>
              </w:rPr>
              <w:t xml:space="preserve">79 nariadenia (EÚ) </w:t>
            </w:r>
            <w:r w:rsidR="00E036ED">
              <w:rPr>
                <w:rFonts w:ascii="Times New Roman" w:hAnsi="Times New Roman"/>
                <w:sz w:val="24"/>
              </w:rPr>
              <w:t>č. </w:t>
            </w:r>
            <w:r w:rsidRPr="00E036ED">
              <w:rPr>
                <w:rFonts w:ascii="Times New Roman" w:hAnsi="Times New Roman"/>
                <w:sz w:val="24"/>
              </w:rPr>
              <w:t>575/2013 bez toho, aby zohľadňovali odchýlku stanovenú</w:t>
            </w:r>
            <w:r w:rsidR="00E036ED">
              <w:rPr>
                <w:rFonts w:ascii="Times New Roman" w:hAnsi="Times New Roman"/>
                <w:sz w:val="24"/>
              </w:rPr>
              <w:t xml:space="preserve"> v </w:t>
            </w:r>
            <w:r w:rsidRPr="00E036ED">
              <w:rPr>
                <w:rFonts w:ascii="Times New Roman" w:hAnsi="Times New Roman"/>
                <w:sz w:val="24"/>
              </w:rPr>
              <w:t>desiatej časti hlave I kapitolách 1</w:t>
            </w:r>
            <w:r w:rsidR="00E036ED">
              <w:rPr>
                <w:rFonts w:ascii="Times New Roman" w:hAnsi="Times New Roman"/>
                <w:sz w:val="24"/>
              </w:rPr>
              <w:t xml:space="preserve"> a </w:t>
            </w:r>
            <w:r w:rsidRPr="00E036ED">
              <w:rPr>
                <w:rFonts w:ascii="Times New Roman" w:hAnsi="Times New Roman"/>
                <w:sz w:val="24"/>
              </w:rPr>
              <w:t xml:space="preserve">2 nariadenia (EÚ) </w:t>
            </w:r>
            <w:r w:rsidR="00E036ED">
              <w:rPr>
                <w:rFonts w:ascii="Times New Roman" w:hAnsi="Times New Roman"/>
                <w:sz w:val="24"/>
              </w:rPr>
              <w:t>č. </w:t>
            </w:r>
            <w:r w:rsidRPr="00E036ED">
              <w:rPr>
                <w:rFonts w:ascii="Times New Roman" w:hAnsi="Times New Roman"/>
                <w:sz w:val="24"/>
              </w:rPr>
              <w:t>575/2013. Ak na rozdiel od toho</w:t>
            </w:r>
            <w:r w:rsidR="00E036ED">
              <w:rPr>
                <w:rFonts w:ascii="Times New Roman" w:hAnsi="Times New Roman"/>
                <w:sz w:val="24"/>
              </w:rPr>
              <w:t xml:space="preserve"> k </w:t>
            </w:r>
            <w:r w:rsidRPr="00E036ED">
              <w:rPr>
                <w:rFonts w:ascii="Times New Roman" w:hAnsi="Times New Roman"/>
                <w:sz w:val="24"/>
              </w:rPr>
              <w:t>rozhodnutiu zverejniť kapitál Tier 1 dôjde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499 ods. 1 písm. b) nariadenia (EÚ) </w:t>
            </w:r>
            <w:r w:rsidR="00E036ED">
              <w:rPr>
                <w:rFonts w:ascii="Times New Roman" w:hAnsi="Times New Roman"/>
                <w:sz w:val="24"/>
              </w:rPr>
              <w:t>č. </w:t>
            </w:r>
            <w:r w:rsidRPr="00E036ED">
              <w:rPr>
                <w:rFonts w:ascii="Times New Roman" w:hAnsi="Times New Roman"/>
                <w:sz w:val="24"/>
              </w:rPr>
              <w:t>575/2013, inštitúcie zohľadňujú výnimky, alternatívy</w:t>
            </w:r>
            <w:r w:rsidR="00E036ED">
              <w:rPr>
                <w:rFonts w:ascii="Times New Roman" w:hAnsi="Times New Roman"/>
                <w:sz w:val="24"/>
              </w:rPr>
              <w:t xml:space="preserve"> a </w:t>
            </w:r>
            <w:r w:rsidRPr="00E036ED">
              <w:rPr>
                <w:rFonts w:ascii="Times New Roman" w:hAnsi="Times New Roman"/>
                <w:sz w:val="24"/>
              </w:rPr>
              <w:t xml:space="preserve">upustenia od takýchto odpočítaní </w:t>
            </w:r>
            <w:r w:rsidRPr="00E036ED">
              <w:rPr>
                <w:rFonts w:ascii="Times New Roman" w:hAnsi="Times New Roman"/>
                <w:sz w:val="24"/>
              </w:rPr>
              <w:lastRenderedPageBreak/>
              <w:t>stanovené</w:t>
            </w:r>
            <w:r w:rsidR="00E036ED">
              <w:rPr>
                <w:rFonts w:ascii="Times New Roman" w:hAnsi="Times New Roman"/>
                <w:sz w:val="24"/>
              </w:rPr>
              <w:t xml:space="preserve"> v </w:t>
            </w:r>
            <w:r w:rsidRPr="00E036ED">
              <w:rPr>
                <w:rFonts w:ascii="Times New Roman" w:hAnsi="Times New Roman"/>
                <w:sz w:val="24"/>
              </w:rPr>
              <w:t>článkoch 48, 49</w:t>
            </w:r>
            <w:r w:rsidR="00E036ED">
              <w:rPr>
                <w:rFonts w:ascii="Times New Roman" w:hAnsi="Times New Roman"/>
                <w:sz w:val="24"/>
              </w:rPr>
              <w:t xml:space="preserve"> a </w:t>
            </w:r>
            <w:r w:rsidRPr="00E036ED">
              <w:rPr>
                <w:rFonts w:ascii="Times New Roman" w:hAnsi="Times New Roman"/>
                <w:sz w:val="24"/>
              </w:rPr>
              <w:t xml:space="preserve">79 nariadenia (EÚ) </w:t>
            </w:r>
            <w:r w:rsidR="00E036ED">
              <w:rPr>
                <w:rFonts w:ascii="Times New Roman" w:hAnsi="Times New Roman"/>
                <w:sz w:val="24"/>
              </w:rPr>
              <w:t>č. </w:t>
            </w:r>
            <w:r w:rsidRPr="00E036ED">
              <w:rPr>
                <w:rFonts w:ascii="Times New Roman" w:hAnsi="Times New Roman"/>
                <w:sz w:val="24"/>
              </w:rPr>
              <w:t>575/2013, pričom zároveň zohľadňujú odchýlky stanovené</w:t>
            </w:r>
            <w:r w:rsidR="00E036ED">
              <w:rPr>
                <w:rFonts w:ascii="Times New Roman" w:hAnsi="Times New Roman"/>
                <w:sz w:val="24"/>
              </w:rPr>
              <w:t xml:space="preserve"> v </w:t>
            </w:r>
            <w:r w:rsidRPr="00E036ED">
              <w:rPr>
                <w:rFonts w:ascii="Times New Roman" w:hAnsi="Times New Roman"/>
                <w:sz w:val="24"/>
              </w:rPr>
              <w:t>desiatej časti hlave I kapitolách 1</w:t>
            </w:r>
            <w:r w:rsidR="00E036ED">
              <w:rPr>
                <w:rFonts w:ascii="Times New Roman" w:hAnsi="Times New Roman"/>
                <w:sz w:val="24"/>
              </w:rPr>
              <w:t xml:space="preserve"> a </w:t>
            </w:r>
            <w:r w:rsidRPr="00E036ED">
              <w:rPr>
                <w:rFonts w:ascii="Times New Roman" w:hAnsi="Times New Roman"/>
                <w:sz w:val="24"/>
              </w:rPr>
              <w:t xml:space="preserve">2 nariadenia (EÚ) </w:t>
            </w:r>
            <w:r w:rsidR="00E036ED">
              <w:rPr>
                <w:rFonts w:ascii="Times New Roman" w:hAnsi="Times New Roman"/>
                <w:sz w:val="24"/>
              </w:rPr>
              <w:t>č. </w:t>
            </w:r>
            <w:r w:rsidRPr="00E036ED">
              <w:rPr>
                <w:rFonts w:ascii="Times New Roman" w:hAnsi="Times New Roman"/>
                <w:sz w:val="24"/>
              </w:rPr>
              <w:t>575/2013.</w:t>
            </w:r>
          </w:p>
          <w:p w14:paraId="69E09FD1" w14:textId="0D9F62F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Aby sa predišlo dvojitému započítaniu, inštitúcie nezverejňujú úpravy už uplatnené podľa článku 111 nariadenia (EÚ) </w:t>
            </w:r>
            <w:r w:rsidR="00E036ED">
              <w:rPr>
                <w:rFonts w:ascii="Times New Roman" w:hAnsi="Times New Roman"/>
                <w:sz w:val="24"/>
              </w:rPr>
              <w:t>č. </w:t>
            </w:r>
            <w:r w:rsidRPr="00E036ED">
              <w:rPr>
                <w:rFonts w:ascii="Times New Roman" w:hAnsi="Times New Roman"/>
                <w:sz w:val="24"/>
              </w:rPr>
              <w:t>575/2013, keď vypočítavajú hodnotu expozície,</w:t>
            </w:r>
            <w:r w:rsidR="00E036ED">
              <w:rPr>
                <w:rFonts w:ascii="Times New Roman" w:hAnsi="Times New Roman"/>
                <w:sz w:val="24"/>
              </w:rPr>
              <w:t xml:space="preserve"> a </w:t>
            </w:r>
            <w:r w:rsidRPr="00E036ED">
              <w:rPr>
                <w:rFonts w:ascii="Times New Roman" w:hAnsi="Times New Roman"/>
                <w:sz w:val="24"/>
              </w:rPr>
              <w:t>nezverejňujú ani žiadnu úpravu, ktorou sa neodpočítava hodnota určitého aktíva.</w:t>
            </w:r>
          </w:p>
          <w:p w14:paraId="69E09FD2" w14:textId="4EF0640C"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Keďže hodnotou uvedenou</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tomto riadku sa znižuje veľkosť celkovej expozície</w:t>
            </w:r>
            <w:r w:rsidRPr="00E036ED">
              <w:rPr>
                <w:rFonts w:ascii="Times New Roman" w:hAnsi="Times New Roman"/>
                <w:sz w:val="24"/>
              </w:rPr>
              <w:t>, inštitúcie uvádzajú hodnotu zverejnenú</w:t>
            </w:r>
            <w:r w:rsidR="00E036ED">
              <w:rPr>
                <w:rFonts w:ascii="Times New Roman" w:hAnsi="Times New Roman"/>
                <w:sz w:val="24"/>
              </w:rPr>
              <w:t xml:space="preserve"> v </w:t>
            </w:r>
            <w:r w:rsidRPr="00E036ED">
              <w:rPr>
                <w:rFonts w:ascii="Times New Roman" w:hAnsi="Times New Roman"/>
                <w:sz w:val="24"/>
              </w:rPr>
              <w:t>tejto bunke</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9FD7" w14:textId="77777777" w:rsidTr="009F3999">
        <w:trPr>
          <w:trHeight w:val="694"/>
        </w:trPr>
        <w:tc>
          <w:tcPr>
            <w:tcW w:w="1380" w:type="dxa"/>
            <w:vAlign w:val="center"/>
          </w:tcPr>
          <w:p w14:paraId="69E09FD4"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7</w:t>
            </w:r>
          </w:p>
        </w:tc>
        <w:tc>
          <w:tcPr>
            <w:tcW w:w="7659" w:type="dxa"/>
          </w:tcPr>
          <w:p w14:paraId="71B1429C" w14:textId="77777777" w:rsidR="00E036ED" w:rsidRDefault="00646595" w:rsidP="00E9371F">
            <w:pPr>
              <w:pStyle w:val="Teksttreci0"/>
              <w:shd w:val="clear" w:color="auto" w:fill="auto"/>
              <w:spacing w:after="120" w:line="240" w:lineRule="auto"/>
              <w:ind w:firstLine="0"/>
              <w:rPr>
                <w:rStyle w:val="TeksttreciPogrubienie"/>
                <w:rFonts w:ascii="Times New Roman" w:hAnsi="Times New Roman"/>
                <w:color w:val="auto"/>
                <w:sz w:val="24"/>
              </w:rPr>
            </w:pPr>
            <w:r w:rsidRPr="00E036ED">
              <w:rPr>
                <w:rStyle w:val="TeksttreciPogrubienie"/>
                <w:rFonts w:ascii="Times New Roman" w:hAnsi="Times New Roman"/>
                <w:color w:val="auto"/>
                <w:sz w:val="24"/>
              </w:rPr>
              <w:t>Celkové súvahové expozície (bez derivátov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SFT)</w:t>
            </w:r>
          </w:p>
          <w:p w14:paraId="69E09FD6" w14:textId="722E34EC" w:rsidR="00646595" w:rsidRPr="00E036ED"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sidRPr="00E036ED">
              <w:rPr>
                <w:rStyle w:val="TeksttreciPogrubienie"/>
                <w:rFonts w:ascii="Times New Roman" w:hAnsi="Times New Roman"/>
                <w:color w:val="auto"/>
                <w:sz w:val="24"/>
              </w:rPr>
              <w:t xml:space="preserve">Súčet riadkov 1 až 6 </w:t>
            </w:r>
          </w:p>
        </w:tc>
      </w:tr>
      <w:tr w:rsidR="002312DE" w:rsidRPr="00E036ED" w14:paraId="69E09FE0" w14:textId="77777777" w:rsidTr="009F3999">
        <w:trPr>
          <w:trHeight w:val="1559"/>
        </w:trPr>
        <w:tc>
          <w:tcPr>
            <w:tcW w:w="1380" w:type="dxa"/>
            <w:vAlign w:val="center"/>
          </w:tcPr>
          <w:p w14:paraId="69E09FD8"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8</w:t>
            </w:r>
          </w:p>
        </w:tc>
        <w:tc>
          <w:tcPr>
            <w:tcW w:w="7659" w:type="dxa"/>
          </w:tcPr>
          <w:p w14:paraId="69E09FD9" w14:textId="63B02820"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Reprodukčné náklady súvisiace</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transakciami podľa SA-CCR (t. j. po odpočítaní prípustnej hotovostnej variačnej marže)</w:t>
            </w:r>
          </w:p>
          <w:p w14:paraId="69E09FDA" w14:textId="71C2306E"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Články 274, 275, 295, 296, 297, 298, 429c</w:t>
            </w:r>
            <w:r w:rsidR="00E036ED">
              <w:rPr>
                <w:rFonts w:ascii="Times New Roman" w:hAnsi="Times New Roman"/>
                <w:sz w:val="24"/>
              </w:rPr>
              <w:t xml:space="preserve"> a </w:t>
            </w:r>
            <w:r w:rsidRPr="00E036ED">
              <w:rPr>
                <w:rFonts w:ascii="Times New Roman" w:hAnsi="Times New Roman"/>
                <w:sz w:val="24"/>
              </w:rPr>
              <w:t xml:space="preserve">článok 429c ods. 3 nariadenia (EÚ) </w:t>
            </w:r>
            <w:r w:rsidR="00E036ED">
              <w:rPr>
                <w:rFonts w:ascii="Times New Roman" w:hAnsi="Times New Roman"/>
                <w:sz w:val="24"/>
              </w:rPr>
              <w:t>č. </w:t>
            </w:r>
            <w:r w:rsidRPr="00E036ED">
              <w:rPr>
                <w:rFonts w:ascii="Times New Roman" w:hAnsi="Times New Roman"/>
                <w:sz w:val="24"/>
              </w:rPr>
              <w:t>575/2013.</w:t>
            </w:r>
          </w:p>
          <w:p w14:paraId="69E09FDB" w14:textId="6F18C9C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súčasné reprodukčné náklady podľa článku 275 ods. 1, pokiaľ ide</w:t>
            </w:r>
            <w:r w:rsidR="00E036ED">
              <w:rPr>
                <w:rFonts w:ascii="Times New Roman" w:hAnsi="Times New Roman"/>
                <w:sz w:val="24"/>
              </w:rPr>
              <w:t xml:space="preserve"> o </w:t>
            </w:r>
            <w:r w:rsidRPr="00E036ED">
              <w:rPr>
                <w:rFonts w:ascii="Times New Roman" w:hAnsi="Times New Roman"/>
                <w:sz w:val="24"/>
              </w:rPr>
              <w:t>zmluvy uvedené</w:t>
            </w:r>
            <w:r w:rsidR="00E036ED">
              <w:rPr>
                <w:rFonts w:ascii="Times New Roman" w:hAnsi="Times New Roman"/>
                <w:sz w:val="24"/>
              </w:rPr>
              <w:t xml:space="preserve"> v </w:t>
            </w:r>
            <w:r w:rsidRPr="00E036ED">
              <w:rPr>
                <w:rFonts w:ascii="Times New Roman" w:hAnsi="Times New Roman"/>
                <w:sz w:val="24"/>
              </w:rPr>
              <w:t>prílohe II</w:t>
            </w:r>
            <w:r w:rsidR="00E036ED">
              <w:rPr>
                <w:rFonts w:ascii="Times New Roman" w:hAnsi="Times New Roman"/>
                <w:sz w:val="24"/>
              </w:rPr>
              <w:t xml:space="preserve"> k </w:t>
            </w:r>
            <w:r w:rsidRPr="00E036ED">
              <w:rPr>
                <w:rFonts w:ascii="Times New Roman" w:hAnsi="Times New Roman"/>
                <w:sz w:val="24"/>
              </w:rPr>
              <w:t xml:space="preserve">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rPr>
              <w:t xml:space="preserve"> a </w:t>
            </w:r>
            <w:r w:rsidRPr="00E036ED">
              <w:rPr>
                <w:rFonts w:ascii="Times New Roman" w:hAnsi="Times New Roman"/>
                <w:sz w:val="24"/>
              </w:rPr>
              <w:t>kreditné deriváty vrátane podsúvahových kreditných derivátov. Tieto reprodukčné náklady musia byť po odpočítaní prípustnej hotovostnej variačnej marže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429c ods. 3 nariadenia (EÚ) </w:t>
            </w:r>
            <w:r w:rsidR="00E036ED">
              <w:rPr>
                <w:rFonts w:ascii="Times New Roman" w:hAnsi="Times New Roman"/>
                <w:sz w:val="24"/>
              </w:rPr>
              <w:t>č. </w:t>
            </w:r>
            <w:r w:rsidRPr="00E036ED">
              <w:rPr>
                <w:rFonts w:ascii="Times New Roman" w:hAnsi="Times New Roman"/>
                <w:sz w:val="24"/>
              </w:rPr>
              <w:t>575/2013,</w:t>
            </w:r>
            <w:r w:rsidRPr="00E036ED">
              <w:rPr>
                <w:rFonts w:ascii="Times New Roman" w:hAnsi="Times New Roman"/>
              </w:rPr>
              <w:t xml:space="preserve"> </w:t>
            </w:r>
            <w:r w:rsidRPr="00E036ED">
              <w:rPr>
                <w:rFonts w:ascii="Times New Roman" w:hAnsi="Times New Roman"/>
                <w:sz w:val="24"/>
              </w:rPr>
              <w:t>pričom akákoľvek hotovostná variačná marža prijatá</w:t>
            </w:r>
            <w:r w:rsidR="00E036ED">
              <w:rPr>
                <w:rFonts w:ascii="Times New Roman" w:hAnsi="Times New Roman"/>
                <w:sz w:val="24"/>
              </w:rPr>
              <w:t xml:space="preserve"> v </w:t>
            </w:r>
            <w:r w:rsidRPr="00E036ED">
              <w:rPr>
                <w:rFonts w:ascii="Times New Roman" w:hAnsi="Times New Roman"/>
                <w:sz w:val="24"/>
              </w:rPr>
              <w:t>rámci vyňatej časti expozície voči centrálnej protistrane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g) alebo h) nariadenia (EÚ) </w:t>
            </w:r>
            <w:r w:rsidR="00E036ED">
              <w:rPr>
                <w:rFonts w:ascii="Times New Roman" w:hAnsi="Times New Roman"/>
                <w:sz w:val="24"/>
              </w:rPr>
              <w:t>č. </w:t>
            </w:r>
            <w:r w:rsidRPr="00E036ED">
              <w:rPr>
                <w:rFonts w:ascii="Times New Roman" w:hAnsi="Times New Roman"/>
                <w:sz w:val="24"/>
              </w:rPr>
              <w:t>575/2013</w:t>
            </w:r>
            <w:r w:rsidRPr="00E036ED">
              <w:rPr>
                <w:rFonts w:ascii="Times New Roman" w:hAnsi="Times New Roman"/>
              </w:rPr>
              <w:t xml:space="preserve"> </w:t>
            </w:r>
            <w:r w:rsidRPr="00E036ED">
              <w:rPr>
                <w:rFonts w:ascii="Times New Roman" w:hAnsi="Times New Roman"/>
                <w:sz w:val="24"/>
              </w:rPr>
              <w:t>sa nezahŕňa.</w:t>
            </w:r>
          </w:p>
          <w:p w14:paraId="69E09FDC" w14:textId="6FC8C63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Ako je stanovené</w:t>
            </w:r>
            <w:r w:rsidR="00E036ED">
              <w:rPr>
                <w:rFonts w:ascii="Times New Roman" w:hAnsi="Times New Roman"/>
                <w:sz w:val="24"/>
              </w:rPr>
              <w:t xml:space="preserve"> v </w:t>
            </w:r>
            <w:r w:rsidRPr="00E036ED">
              <w:rPr>
                <w:rFonts w:ascii="Times New Roman" w:hAnsi="Times New Roman"/>
                <w:sz w:val="24"/>
              </w:rPr>
              <w:t xml:space="preserve">článku 429c ods. 1 nariadenia (EÚ) </w:t>
            </w:r>
            <w:r w:rsidR="00E036ED">
              <w:rPr>
                <w:rFonts w:ascii="Times New Roman" w:hAnsi="Times New Roman"/>
                <w:sz w:val="24"/>
              </w:rPr>
              <w:t>č. </w:t>
            </w:r>
            <w:r w:rsidRPr="00E036ED">
              <w:rPr>
                <w:rFonts w:ascii="Times New Roman" w:hAnsi="Times New Roman"/>
                <w:sz w:val="24"/>
              </w:rPr>
              <w:t>575/2013, inštitúcie môžu zohľadňovať účinky zmlúv</w:t>
            </w:r>
            <w:r w:rsidR="00E036ED">
              <w:rPr>
                <w:rFonts w:ascii="Times New Roman" w:hAnsi="Times New Roman"/>
                <w:sz w:val="24"/>
              </w:rPr>
              <w:t xml:space="preserve"> o </w:t>
            </w:r>
            <w:r w:rsidRPr="00E036ED">
              <w:rPr>
                <w:rFonts w:ascii="Times New Roman" w:hAnsi="Times New Roman"/>
                <w:sz w:val="24"/>
              </w:rPr>
              <w:t>novácii</w:t>
            </w:r>
            <w:r w:rsidR="00E036ED">
              <w:rPr>
                <w:rFonts w:ascii="Times New Roman" w:hAnsi="Times New Roman"/>
                <w:sz w:val="24"/>
              </w:rPr>
              <w:t xml:space="preserve"> a </w:t>
            </w:r>
            <w:r w:rsidRPr="00E036ED">
              <w:rPr>
                <w:rFonts w:ascii="Times New Roman" w:hAnsi="Times New Roman"/>
                <w:sz w:val="24"/>
              </w:rPr>
              <w:t>iných dohôd</w:t>
            </w:r>
            <w:r w:rsidR="00E036ED">
              <w:rPr>
                <w:rFonts w:ascii="Times New Roman" w:hAnsi="Times New Roman"/>
                <w:sz w:val="24"/>
              </w:rPr>
              <w:t xml:space="preserve"> o </w:t>
            </w:r>
            <w:r w:rsidRPr="00E036ED">
              <w:rPr>
                <w:rFonts w:ascii="Times New Roman" w:hAnsi="Times New Roman"/>
                <w:sz w:val="24"/>
              </w:rPr>
              <w:t>vzájomnom započítavaní</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295 nariadenia (EÚ) </w:t>
            </w:r>
            <w:r w:rsidR="00E036ED">
              <w:rPr>
                <w:rFonts w:ascii="Times New Roman" w:hAnsi="Times New Roman"/>
                <w:sz w:val="24"/>
              </w:rPr>
              <w:t>č. </w:t>
            </w:r>
            <w:r w:rsidRPr="00E036ED">
              <w:rPr>
                <w:rFonts w:ascii="Times New Roman" w:hAnsi="Times New Roman"/>
                <w:sz w:val="24"/>
              </w:rPr>
              <w:t>575/2013. Krížové vzájomné započítavanie produktov sa neuplatňuje. Inštitúcie však môžu využívať vzájomné započítavanie</w:t>
            </w:r>
            <w:r w:rsidR="00E036ED">
              <w:rPr>
                <w:rFonts w:ascii="Times New Roman" w:hAnsi="Times New Roman"/>
                <w:sz w:val="24"/>
              </w:rPr>
              <w:t xml:space="preserve"> v </w:t>
            </w:r>
            <w:r w:rsidRPr="00E036ED">
              <w:rPr>
                <w:rFonts w:ascii="Times New Roman" w:hAnsi="Times New Roman"/>
                <w:sz w:val="24"/>
              </w:rPr>
              <w:t>rámci kategórie produktov uvedenej</w:t>
            </w:r>
            <w:r w:rsidR="00E036ED">
              <w:rPr>
                <w:rFonts w:ascii="Times New Roman" w:hAnsi="Times New Roman"/>
                <w:sz w:val="24"/>
              </w:rPr>
              <w:t xml:space="preserve"> v </w:t>
            </w:r>
            <w:r w:rsidRPr="00E036ED">
              <w:rPr>
                <w:rFonts w:ascii="Times New Roman" w:hAnsi="Times New Roman"/>
                <w:sz w:val="24"/>
              </w:rPr>
              <w:t xml:space="preserve">článku 272 ods. 25 písm. c)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v </w:t>
            </w:r>
            <w:r w:rsidRPr="00E036ED">
              <w:rPr>
                <w:rFonts w:ascii="Times New Roman" w:hAnsi="Times New Roman"/>
                <w:sz w:val="24"/>
              </w:rPr>
              <w:t>rámci kreditných derivátov, keď sú predmetom dohody</w:t>
            </w:r>
            <w:r w:rsidR="00E036ED">
              <w:rPr>
                <w:rFonts w:ascii="Times New Roman" w:hAnsi="Times New Roman"/>
                <w:sz w:val="24"/>
              </w:rPr>
              <w:t xml:space="preserve"> o </w:t>
            </w:r>
            <w:r w:rsidRPr="00E036ED">
              <w:rPr>
                <w:rFonts w:ascii="Times New Roman" w:hAnsi="Times New Roman"/>
                <w:sz w:val="24"/>
              </w:rPr>
              <w:t>vzájomnom krížovom započítavaní produktov uvedenej</w:t>
            </w:r>
            <w:r w:rsidR="00E036ED">
              <w:rPr>
                <w:rFonts w:ascii="Times New Roman" w:hAnsi="Times New Roman"/>
                <w:sz w:val="24"/>
              </w:rPr>
              <w:t xml:space="preserve"> v </w:t>
            </w:r>
            <w:r w:rsidRPr="00E036ED">
              <w:rPr>
                <w:rFonts w:ascii="Times New Roman" w:hAnsi="Times New Roman"/>
                <w:sz w:val="24"/>
              </w:rPr>
              <w:t xml:space="preserve">článku 295 písm. c) nariadenia (EÚ) </w:t>
            </w:r>
            <w:r w:rsidR="00E036ED">
              <w:rPr>
                <w:rFonts w:ascii="Times New Roman" w:hAnsi="Times New Roman"/>
                <w:sz w:val="24"/>
              </w:rPr>
              <w:t>č. </w:t>
            </w:r>
            <w:r w:rsidRPr="00E036ED">
              <w:rPr>
                <w:rFonts w:ascii="Times New Roman" w:hAnsi="Times New Roman"/>
                <w:sz w:val="24"/>
              </w:rPr>
              <w:t>575/2013.</w:t>
            </w:r>
          </w:p>
          <w:p w14:paraId="69E09FDD" w14:textId="7CACCB1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nezahŕňajú zmluvy oceňované uplatnením prístupov</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článkom 429c ods. 6, t. j. prístupov uvedených</w:t>
            </w:r>
            <w:r w:rsidR="00E036ED">
              <w:rPr>
                <w:rFonts w:ascii="Times New Roman" w:hAnsi="Times New Roman"/>
                <w:sz w:val="24"/>
              </w:rPr>
              <w:t xml:space="preserve"> v </w:t>
            </w:r>
            <w:r w:rsidRPr="00E036ED">
              <w:rPr>
                <w:rFonts w:ascii="Times New Roman" w:hAnsi="Times New Roman"/>
                <w:sz w:val="24"/>
              </w:rPr>
              <w:t xml:space="preserve">tretej časti hlave II kapitole 6 oddieloch 4 alebo 5 nariadenia (EÚ) </w:t>
            </w:r>
            <w:r w:rsidR="00E036ED">
              <w:rPr>
                <w:rFonts w:ascii="Times New Roman" w:hAnsi="Times New Roman"/>
                <w:sz w:val="24"/>
              </w:rPr>
              <w:t>č. </w:t>
            </w:r>
            <w:r w:rsidRPr="00E036ED">
              <w:rPr>
                <w:rFonts w:ascii="Times New Roman" w:hAnsi="Times New Roman"/>
                <w:sz w:val="24"/>
              </w:rPr>
              <w:t>575/2013</w:t>
            </w:r>
            <w:r w:rsidRPr="00E036ED">
              <w:rPr>
                <w:rFonts w:ascii="Times New Roman" w:hAnsi="Times New Roman"/>
              </w:rPr>
              <w:t xml:space="preserve"> </w:t>
            </w:r>
            <w:r w:rsidRPr="00E036ED">
              <w:rPr>
                <w:rFonts w:ascii="Times New Roman" w:hAnsi="Times New Roman"/>
                <w:sz w:val="24"/>
              </w:rPr>
              <w:t>(zjednodušený SA-CCR alebo metóda pôvodnej expozície).</w:t>
            </w:r>
          </w:p>
          <w:p w14:paraId="01BCD0AD" w14:textId="6254A6A0"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Fonts w:ascii="Times New Roman" w:hAnsi="Times New Roman"/>
                <w:sz w:val="24"/>
              </w:rPr>
              <w:t>Inštitúcie pri výpočte reprodukčných nákladov zahrnú</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článkom 429c ods. 4</w:t>
            </w:r>
            <w:r w:rsidR="00E036ED">
              <w:rPr>
                <w:rFonts w:ascii="Times New Roman" w:hAnsi="Times New Roman"/>
                <w:sz w:val="24"/>
              </w:rPr>
              <w:t xml:space="preserve"> a </w:t>
            </w:r>
            <w:r w:rsidRPr="00E036ED">
              <w:rPr>
                <w:rFonts w:ascii="Times New Roman" w:hAnsi="Times New Roman"/>
                <w:sz w:val="24"/>
              </w:rPr>
              <w:t xml:space="preserve">článkom 429c ods. 4a nariadenia (EÚ) </w:t>
            </w:r>
            <w:r w:rsidR="00E036ED">
              <w:rPr>
                <w:rFonts w:ascii="Times New Roman" w:hAnsi="Times New Roman"/>
                <w:sz w:val="24"/>
              </w:rPr>
              <w:t>č. </w:t>
            </w:r>
            <w:r w:rsidRPr="00E036ED">
              <w:rPr>
                <w:rFonts w:ascii="Times New Roman" w:hAnsi="Times New Roman"/>
                <w:sz w:val="24"/>
              </w:rPr>
              <w:t>575/2013 účinok vykázania kolaterálu</w:t>
            </w:r>
            <w:r w:rsidR="00E036ED">
              <w:rPr>
                <w:rFonts w:ascii="Times New Roman" w:hAnsi="Times New Roman"/>
                <w:sz w:val="24"/>
              </w:rPr>
              <w:t xml:space="preserve"> v </w:t>
            </w:r>
            <w:r w:rsidRPr="00E036ED">
              <w:rPr>
                <w:rFonts w:ascii="Times New Roman" w:hAnsi="Times New Roman"/>
                <w:sz w:val="24"/>
              </w:rPr>
              <w:t>rámci NICA na zmluvy</w:t>
            </w:r>
            <w:r w:rsidR="00E036ED">
              <w:rPr>
                <w:rFonts w:ascii="Times New Roman" w:hAnsi="Times New Roman"/>
                <w:sz w:val="24"/>
              </w:rPr>
              <w:t xml:space="preserve"> o </w:t>
            </w:r>
            <w:r w:rsidRPr="00E036ED">
              <w:rPr>
                <w:rFonts w:ascii="Times New Roman" w:hAnsi="Times New Roman"/>
                <w:sz w:val="24"/>
              </w:rPr>
              <w:t>derivátoch</w:t>
            </w:r>
            <w:r w:rsidR="00E036ED">
              <w:rPr>
                <w:rFonts w:ascii="Times New Roman" w:hAnsi="Times New Roman"/>
                <w:sz w:val="24"/>
              </w:rPr>
              <w:t xml:space="preserve"> s </w:t>
            </w:r>
            <w:r w:rsidRPr="00E036ED">
              <w:rPr>
                <w:rFonts w:ascii="Times New Roman" w:hAnsi="Times New Roman"/>
                <w:sz w:val="24"/>
              </w:rPr>
              <w:t>klientmi, ak tieto zmluvy zúčtováva QCCP</w:t>
            </w:r>
            <w:r w:rsidR="00E036ED">
              <w:rPr>
                <w:rFonts w:ascii="Times New Roman" w:hAnsi="Times New Roman"/>
                <w:sz w:val="24"/>
              </w:rPr>
              <w:t>.</w:t>
            </w:r>
          </w:p>
          <w:p w14:paraId="69E09FDF" w14:textId="7F66CA2E"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Táto suma sa zverejňuje</w:t>
            </w:r>
            <w:r w:rsidR="00E036ED">
              <w:rPr>
                <w:rFonts w:ascii="Times New Roman" w:hAnsi="Times New Roman"/>
                <w:sz w:val="24"/>
              </w:rPr>
              <w:t xml:space="preserve"> s </w:t>
            </w:r>
            <w:r w:rsidRPr="00E036ED">
              <w:rPr>
                <w:rFonts w:ascii="Times New Roman" w:hAnsi="Times New Roman"/>
                <w:sz w:val="24"/>
              </w:rPr>
              <w:t xml:space="preserve">koeficientom alfa na úrovni 1,4 podľa článku 274 ods. 2 nariadenia (EÚ) </w:t>
            </w:r>
            <w:r w:rsidR="00E036ED">
              <w:rPr>
                <w:rFonts w:ascii="Times New Roman" w:hAnsi="Times New Roman"/>
                <w:sz w:val="24"/>
              </w:rPr>
              <w:t>č. </w:t>
            </w:r>
            <w:r w:rsidRPr="00E036ED">
              <w:rPr>
                <w:rFonts w:ascii="Times New Roman" w:hAnsi="Times New Roman"/>
                <w:sz w:val="24"/>
              </w:rPr>
              <w:t>575/2013.</w:t>
            </w:r>
          </w:p>
        </w:tc>
      </w:tr>
      <w:tr w:rsidR="002312DE" w:rsidRPr="00E036ED" w14:paraId="69E09FE7" w14:textId="77777777" w:rsidTr="009F3999">
        <w:trPr>
          <w:trHeight w:val="2265"/>
        </w:trPr>
        <w:tc>
          <w:tcPr>
            <w:tcW w:w="1380" w:type="dxa"/>
            <w:vAlign w:val="center"/>
          </w:tcPr>
          <w:p w14:paraId="69E09FE1"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EU-8a</w:t>
            </w:r>
          </w:p>
        </w:tc>
        <w:tc>
          <w:tcPr>
            <w:tcW w:w="7659" w:type="dxa"/>
          </w:tcPr>
          <w:p w14:paraId="69E09FE2" w14:textId="7777777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Odchýlka pre deriváty: príspevok reprodukčných nákladov podľa zjednodušeného štandardizovaného prístupu</w:t>
            </w:r>
          </w:p>
          <w:p w14:paraId="69E09FE3" w14:textId="03AE4C7D" w:rsidR="00646595" w:rsidRPr="00E036ED" w:rsidRDefault="00646595">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Článok 429c ods. 6</w:t>
            </w:r>
            <w:r w:rsidR="00E036ED">
              <w:rPr>
                <w:rFonts w:ascii="Times New Roman" w:hAnsi="Times New Roman"/>
                <w:color w:val="auto"/>
                <w:sz w:val="24"/>
              </w:rPr>
              <w:t xml:space="preserve"> a </w:t>
            </w:r>
            <w:r w:rsidRPr="00E036ED">
              <w:rPr>
                <w:rFonts w:ascii="Times New Roman" w:hAnsi="Times New Roman"/>
                <w:color w:val="auto"/>
                <w:sz w:val="24"/>
              </w:rPr>
              <w:t xml:space="preserve">článok 281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9FE4" w14:textId="2F20FA23" w:rsidR="00646595" w:rsidRPr="00E036ED" w:rsidRDefault="00646595">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V tejto bunke sa uvádza veľkosť expozície zmlúv uvedených</w:t>
            </w:r>
            <w:r w:rsidR="00E036ED">
              <w:rPr>
                <w:rFonts w:ascii="Times New Roman" w:hAnsi="Times New Roman"/>
                <w:color w:val="auto"/>
                <w:sz w:val="24"/>
              </w:rPr>
              <w:t xml:space="preserve"> v </w:t>
            </w:r>
            <w:r w:rsidRPr="00E036ED">
              <w:rPr>
                <w:rFonts w:ascii="Times New Roman" w:hAnsi="Times New Roman"/>
                <w:color w:val="auto"/>
                <w:sz w:val="24"/>
              </w:rPr>
              <w:t>bodoch 1</w:t>
            </w:r>
            <w:r w:rsidR="00E036ED">
              <w:rPr>
                <w:rFonts w:ascii="Times New Roman" w:hAnsi="Times New Roman"/>
                <w:color w:val="auto"/>
                <w:sz w:val="24"/>
              </w:rPr>
              <w:t xml:space="preserve"> a </w:t>
            </w:r>
            <w:r w:rsidRPr="00E036ED">
              <w:rPr>
                <w:rFonts w:ascii="Times New Roman" w:hAnsi="Times New Roman"/>
                <w:color w:val="auto"/>
                <w:sz w:val="24"/>
              </w:rPr>
              <w:t>2 prílohy II</w:t>
            </w:r>
            <w:r w:rsidR="00E036ED">
              <w:rPr>
                <w:rFonts w:ascii="Times New Roman" w:hAnsi="Times New Roman"/>
                <w:color w:val="auto"/>
                <w:sz w:val="24"/>
              </w:rPr>
              <w:t xml:space="preserve"> k </w:t>
            </w:r>
            <w:r w:rsidRPr="00E036ED">
              <w:rPr>
                <w:rFonts w:ascii="Times New Roman" w:hAnsi="Times New Roman"/>
                <w:color w:val="auto"/>
                <w:sz w:val="24"/>
              </w:rPr>
              <w:t xml:space="preserve">nariadeniu (EÚ) </w:t>
            </w:r>
            <w:r w:rsidR="00E036ED">
              <w:rPr>
                <w:rFonts w:ascii="Times New Roman" w:hAnsi="Times New Roman"/>
                <w:color w:val="auto"/>
                <w:sz w:val="24"/>
              </w:rPr>
              <w:t>č. </w:t>
            </w:r>
            <w:r w:rsidRPr="00E036ED">
              <w:rPr>
                <w:rFonts w:ascii="Times New Roman" w:hAnsi="Times New Roman"/>
                <w:color w:val="auto"/>
                <w:sz w:val="24"/>
              </w:rPr>
              <w:t>575/2013 vypočítaná</w:t>
            </w:r>
            <w:r w:rsidR="00E036ED">
              <w:rPr>
                <w:rFonts w:ascii="Times New Roman" w:hAnsi="Times New Roman"/>
                <w:color w:val="auto"/>
                <w:sz w:val="24"/>
              </w:rPr>
              <w:t xml:space="preserve"> v </w:t>
            </w:r>
            <w:r w:rsidRPr="00E036ED">
              <w:rPr>
                <w:rFonts w:ascii="Times New Roman" w:hAnsi="Times New Roman"/>
                <w:color w:val="auto"/>
                <w:sz w:val="24"/>
              </w:rPr>
              <w:t>súlade so zjednodušeným štandardizovaným prístupom stanoveným</w:t>
            </w:r>
            <w:r w:rsidR="00E036ED">
              <w:rPr>
                <w:rFonts w:ascii="Times New Roman" w:hAnsi="Times New Roman"/>
                <w:color w:val="auto"/>
                <w:sz w:val="24"/>
              </w:rPr>
              <w:t xml:space="preserve"> v </w:t>
            </w:r>
            <w:r w:rsidRPr="00E036ED">
              <w:rPr>
                <w:rFonts w:ascii="Times New Roman" w:hAnsi="Times New Roman"/>
                <w:color w:val="auto"/>
                <w:sz w:val="24"/>
              </w:rPr>
              <w:t xml:space="preserve">článku 281 nariadenia (EÚ) </w:t>
            </w:r>
            <w:r w:rsidR="00E036ED">
              <w:rPr>
                <w:rFonts w:ascii="Times New Roman" w:hAnsi="Times New Roman"/>
                <w:color w:val="auto"/>
                <w:sz w:val="24"/>
              </w:rPr>
              <w:t>č. </w:t>
            </w:r>
            <w:r w:rsidRPr="00E036ED">
              <w:rPr>
                <w:rFonts w:ascii="Times New Roman" w:hAnsi="Times New Roman"/>
                <w:color w:val="auto"/>
                <w:sz w:val="24"/>
              </w:rPr>
              <w:t>575/2013 bez vplyvu kolaterálu na NICA. Táto suma sa zverejňuje</w:t>
            </w:r>
            <w:r w:rsidR="00E036ED">
              <w:rPr>
                <w:rFonts w:ascii="Times New Roman" w:hAnsi="Times New Roman"/>
                <w:color w:val="auto"/>
                <w:sz w:val="24"/>
              </w:rPr>
              <w:t xml:space="preserve"> s </w:t>
            </w:r>
            <w:r w:rsidRPr="00E036ED">
              <w:rPr>
                <w:rFonts w:ascii="Times New Roman" w:hAnsi="Times New Roman"/>
                <w:color w:val="auto"/>
                <w:sz w:val="24"/>
              </w:rPr>
              <w:t xml:space="preserve">koeficientom alfa na úrovni 1,4 uplatneným podľa článku 274 ods. 2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9FE5" w14:textId="29DBC61C" w:rsidR="00646595" w:rsidRPr="00E036ED" w:rsidRDefault="00646595">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Inštitúcie, ktoré uplatňujú zjednodušený štandardizovaný prístup, neznižujú veľkosť celkovej expozície</w:t>
            </w:r>
            <w:r w:rsidR="00E036ED">
              <w:rPr>
                <w:rFonts w:ascii="Times New Roman" w:hAnsi="Times New Roman"/>
                <w:color w:val="auto"/>
                <w:sz w:val="24"/>
              </w:rPr>
              <w:t xml:space="preserve"> o </w:t>
            </w:r>
            <w:r w:rsidRPr="00E036ED">
              <w:rPr>
                <w:rFonts w:ascii="Times New Roman" w:hAnsi="Times New Roman"/>
                <w:color w:val="auto"/>
                <w:sz w:val="24"/>
              </w:rPr>
              <w:t>sumu marže prijatej</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429c ods. 6 nariadenia (EÚ) </w:t>
            </w:r>
            <w:r w:rsidR="00E036ED">
              <w:rPr>
                <w:rFonts w:ascii="Times New Roman" w:hAnsi="Times New Roman"/>
                <w:color w:val="auto"/>
                <w:sz w:val="24"/>
              </w:rPr>
              <w:t>č. </w:t>
            </w:r>
            <w:r w:rsidRPr="00E036ED">
              <w:rPr>
                <w:rFonts w:ascii="Times New Roman" w:hAnsi="Times New Roman"/>
                <w:color w:val="auto"/>
                <w:sz w:val="24"/>
              </w:rPr>
              <w:t>575/2013. Preto sa neuplatňuje výnimka pre zmluvy</w:t>
            </w:r>
            <w:r w:rsidR="00E036ED">
              <w:rPr>
                <w:rFonts w:ascii="Times New Roman" w:hAnsi="Times New Roman"/>
                <w:color w:val="auto"/>
                <w:sz w:val="24"/>
              </w:rPr>
              <w:t xml:space="preserve"> o </w:t>
            </w:r>
            <w:r w:rsidRPr="00E036ED">
              <w:rPr>
                <w:rFonts w:ascii="Times New Roman" w:hAnsi="Times New Roman"/>
                <w:color w:val="auto"/>
                <w:sz w:val="24"/>
              </w:rPr>
              <w:t>derivátoch</w:t>
            </w:r>
            <w:r w:rsidR="00E036ED">
              <w:rPr>
                <w:rFonts w:ascii="Times New Roman" w:hAnsi="Times New Roman"/>
                <w:color w:val="auto"/>
                <w:sz w:val="24"/>
              </w:rPr>
              <w:t xml:space="preserve"> s </w:t>
            </w:r>
            <w:r w:rsidRPr="00E036ED">
              <w:rPr>
                <w:rFonts w:ascii="Times New Roman" w:hAnsi="Times New Roman"/>
                <w:color w:val="auto"/>
                <w:sz w:val="24"/>
              </w:rPr>
              <w:t>klientmi, keď tieto zmluvy zúčtováva QCCP podľa článku 429c ods. 4</w:t>
            </w:r>
            <w:r w:rsidR="00E036ED">
              <w:rPr>
                <w:rFonts w:ascii="Times New Roman" w:hAnsi="Times New Roman"/>
                <w:color w:val="auto"/>
                <w:sz w:val="24"/>
              </w:rPr>
              <w:t xml:space="preserve"> a </w:t>
            </w:r>
            <w:r w:rsidRPr="00E036ED">
              <w:rPr>
                <w:rFonts w:ascii="Times New Roman" w:hAnsi="Times New Roman"/>
                <w:color w:val="auto"/>
                <w:sz w:val="24"/>
              </w:rPr>
              <w:t xml:space="preserve">článku 429c ods. 4a nariadenia (EÚ) </w:t>
            </w:r>
            <w:r w:rsidR="00E036ED">
              <w:rPr>
                <w:rFonts w:ascii="Times New Roman" w:hAnsi="Times New Roman"/>
                <w:color w:val="auto"/>
                <w:sz w:val="24"/>
              </w:rPr>
              <w:t>č. </w:t>
            </w:r>
            <w:r w:rsidRPr="00E036ED">
              <w:rPr>
                <w:rFonts w:ascii="Times New Roman" w:hAnsi="Times New Roman"/>
                <w:color w:val="auto"/>
                <w:sz w:val="24"/>
              </w:rPr>
              <w:t>575/2013</w:t>
            </w:r>
            <w:r w:rsidRPr="00E036ED">
              <w:rPr>
                <w:rFonts w:ascii="Times New Roman" w:hAnsi="Times New Roman"/>
                <w:color w:val="auto"/>
              </w:rPr>
              <w:t>.</w:t>
            </w:r>
          </w:p>
          <w:p w14:paraId="69E09FE6" w14:textId="3BC9C7D5"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Fonts w:ascii="Times New Roman" w:hAnsi="Times New Roman"/>
                <w:sz w:val="24"/>
              </w:rPr>
              <w:t>Inštitúcie</w:t>
            </w:r>
            <w:r w:rsidR="00E036ED">
              <w:rPr>
                <w:rFonts w:ascii="Times New Roman" w:hAnsi="Times New Roman"/>
                <w:sz w:val="24"/>
              </w:rPr>
              <w:t xml:space="preserve"> v </w:t>
            </w:r>
            <w:r w:rsidRPr="00E036ED">
              <w:rPr>
                <w:rFonts w:ascii="Times New Roman" w:hAnsi="Times New Roman"/>
                <w:sz w:val="24"/>
              </w:rPr>
              <w:t xml:space="preserve">tejto bunke nezohľadňujú zmluvy oceňované uplatnením SA-CCR alebo metódy pôvodnej expozície. </w:t>
            </w:r>
          </w:p>
        </w:tc>
      </w:tr>
      <w:tr w:rsidR="002312DE" w:rsidRPr="00E036ED" w14:paraId="69E09FEE" w14:textId="77777777" w:rsidTr="009F3999">
        <w:trPr>
          <w:trHeight w:val="2265"/>
        </w:trPr>
        <w:tc>
          <w:tcPr>
            <w:tcW w:w="1380" w:type="dxa"/>
            <w:vAlign w:val="center"/>
          </w:tcPr>
          <w:p w14:paraId="69E09FE8"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9</w:t>
            </w:r>
          </w:p>
        </w:tc>
        <w:tc>
          <w:tcPr>
            <w:tcW w:w="7659" w:type="dxa"/>
          </w:tcPr>
          <w:p w14:paraId="3A393B67" w14:textId="77777777" w:rsidR="00E036ED" w:rsidRDefault="00646595" w:rsidP="00E9371F">
            <w:pPr>
              <w:pStyle w:val="Teksttreci0"/>
              <w:shd w:val="clear" w:color="auto" w:fill="auto"/>
              <w:spacing w:after="120" w:line="240" w:lineRule="auto"/>
              <w:ind w:firstLine="0"/>
              <w:rPr>
                <w:rStyle w:val="TeksttreciPogrubienie"/>
                <w:rFonts w:ascii="Times New Roman" w:hAnsi="Times New Roman"/>
                <w:color w:val="auto"/>
                <w:sz w:val="24"/>
              </w:rPr>
            </w:pPr>
            <w:r w:rsidRPr="00E036ED">
              <w:rPr>
                <w:rStyle w:val="TeksttreciPogrubienie"/>
                <w:rFonts w:ascii="Times New Roman" w:hAnsi="Times New Roman"/>
                <w:color w:val="auto"/>
                <w:sz w:val="24"/>
              </w:rPr>
              <w:t>Dodatočné hodnoty pre potenciálnu budúcu expozíciu súvisiacu</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derivátovými transakciami podľa SA-CCR</w:t>
            </w:r>
          </w:p>
          <w:p w14:paraId="69E09FEA" w14:textId="4EF44B95"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Články 274, 275, 295, 296, 297, 298, 299 ods. 2</w:t>
            </w:r>
            <w:r w:rsidR="00E036ED">
              <w:rPr>
                <w:rFonts w:ascii="Times New Roman" w:hAnsi="Times New Roman"/>
                <w:sz w:val="24"/>
              </w:rPr>
              <w:t xml:space="preserve"> a </w:t>
            </w:r>
            <w:r w:rsidRPr="00E036ED">
              <w:rPr>
                <w:rFonts w:ascii="Times New Roman" w:hAnsi="Times New Roman"/>
                <w:sz w:val="24"/>
              </w:rPr>
              <w:t xml:space="preserve">článok 429c nariadenia (EÚ) </w:t>
            </w:r>
            <w:r w:rsidR="00E036ED">
              <w:rPr>
                <w:rFonts w:ascii="Times New Roman" w:hAnsi="Times New Roman"/>
                <w:sz w:val="24"/>
              </w:rPr>
              <w:t>č. </w:t>
            </w:r>
            <w:r w:rsidRPr="00E036ED">
              <w:rPr>
                <w:rFonts w:ascii="Times New Roman" w:hAnsi="Times New Roman"/>
                <w:sz w:val="24"/>
              </w:rPr>
              <w:t>575/2013.</w:t>
            </w:r>
          </w:p>
          <w:p w14:paraId="69E09FEB" w14:textId="4B2D5345"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dodatočnú hodnotu pre potenciálnu budúcu expozíciu</w:t>
            </w:r>
            <w:r w:rsidR="00E036ED">
              <w:rPr>
                <w:rFonts w:ascii="Times New Roman" w:hAnsi="Times New Roman"/>
                <w:sz w:val="24"/>
              </w:rPr>
              <w:t xml:space="preserve"> v </w:t>
            </w:r>
            <w:r w:rsidRPr="00E036ED">
              <w:rPr>
                <w:rFonts w:ascii="Times New Roman" w:hAnsi="Times New Roman"/>
                <w:sz w:val="24"/>
              </w:rPr>
              <w:t>rámci zmlúv uvedených</w:t>
            </w:r>
            <w:r w:rsidR="00E036ED">
              <w:rPr>
                <w:rFonts w:ascii="Times New Roman" w:hAnsi="Times New Roman"/>
                <w:sz w:val="24"/>
              </w:rPr>
              <w:t xml:space="preserve"> v </w:t>
            </w:r>
            <w:r w:rsidRPr="00E036ED">
              <w:rPr>
                <w:rFonts w:ascii="Times New Roman" w:hAnsi="Times New Roman"/>
                <w:sz w:val="24"/>
              </w:rPr>
              <w:t>prílohe II</w:t>
            </w:r>
            <w:r w:rsidR="00E036ED">
              <w:rPr>
                <w:rFonts w:ascii="Times New Roman" w:hAnsi="Times New Roman"/>
                <w:sz w:val="24"/>
              </w:rPr>
              <w:t xml:space="preserve"> k </w:t>
            </w:r>
            <w:r w:rsidRPr="00E036ED">
              <w:rPr>
                <w:rFonts w:ascii="Times New Roman" w:hAnsi="Times New Roman"/>
                <w:sz w:val="24"/>
              </w:rPr>
              <w:t xml:space="preserve">nariadeniu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v </w:t>
            </w:r>
            <w:r w:rsidRPr="00E036ED">
              <w:rPr>
                <w:rFonts w:ascii="Times New Roman" w:hAnsi="Times New Roman"/>
                <w:sz w:val="24"/>
              </w:rPr>
              <w:t>rámci kreditných derivátov vrátane podsúvahových kreditných derivátov na základe výpočtu</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278 nariadenia (EÚ) </w:t>
            </w:r>
            <w:r w:rsidR="00E036ED">
              <w:rPr>
                <w:rFonts w:ascii="Times New Roman" w:hAnsi="Times New Roman"/>
                <w:sz w:val="24"/>
              </w:rPr>
              <w:t>č. </w:t>
            </w:r>
            <w:r w:rsidRPr="00E036ED">
              <w:rPr>
                <w:rFonts w:ascii="Times New Roman" w:hAnsi="Times New Roman"/>
                <w:sz w:val="24"/>
              </w:rPr>
              <w:t>575/2013 pre zmluvy uvedené</w:t>
            </w:r>
            <w:r w:rsidR="00E036ED">
              <w:rPr>
                <w:rFonts w:ascii="Times New Roman" w:hAnsi="Times New Roman"/>
                <w:sz w:val="24"/>
              </w:rPr>
              <w:t xml:space="preserve"> v </w:t>
            </w:r>
            <w:r w:rsidRPr="00E036ED">
              <w:rPr>
                <w:rFonts w:ascii="Times New Roman" w:hAnsi="Times New Roman"/>
                <w:sz w:val="24"/>
              </w:rPr>
              <w:t>prílohe II</w:t>
            </w:r>
            <w:r w:rsidR="00E036ED">
              <w:rPr>
                <w:rFonts w:ascii="Times New Roman" w:hAnsi="Times New Roman"/>
                <w:sz w:val="24"/>
              </w:rPr>
              <w:t xml:space="preserve"> k </w:t>
            </w:r>
            <w:r w:rsidRPr="00E036ED">
              <w:rPr>
                <w:rFonts w:ascii="Times New Roman" w:hAnsi="Times New Roman"/>
                <w:sz w:val="24"/>
              </w:rPr>
              <w:t xml:space="preserve">nariadeniu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w:t>
            </w:r>
            <w:r w:rsidRPr="00E036ED">
              <w:rPr>
                <w:rFonts w:ascii="Times New Roman" w:hAnsi="Times New Roman"/>
                <w:sz w:val="24"/>
              </w:rPr>
              <w:t xml:space="preserve">článkom 299 ods. 2 nariadenia (EÚ) </w:t>
            </w:r>
            <w:r w:rsidR="00E036ED">
              <w:rPr>
                <w:rFonts w:ascii="Times New Roman" w:hAnsi="Times New Roman"/>
                <w:sz w:val="24"/>
              </w:rPr>
              <w:t>č. </w:t>
            </w:r>
            <w:r w:rsidRPr="00E036ED">
              <w:rPr>
                <w:rFonts w:ascii="Times New Roman" w:hAnsi="Times New Roman"/>
                <w:sz w:val="24"/>
              </w:rPr>
              <w:t>575/2013 pre kreditné deriváty</w:t>
            </w:r>
            <w:r w:rsidR="00E036ED">
              <w:rPr>
                <w:rFonts w:ascii="Times New Roman" w:hAnsi="Times New Roman"/>
                <w:sz w:val="24"/>
              </w:rPr>
              <w:t xml:space="preserve"> a </w:t>
            </w:r>
            <w:r w:rsidRPr="00E036ED">
              <w:rPr>
                <w:rFonts w:ascii="Times New Roman" w:hAnsi="Times New Roman"/>
                <w:sz w:val="24"/>
              </w:rPr>
              <w:t>pri uplatňovaní pravidiel</w:t>
            </w:r>
            <w:r w:rsidR="00E036ED">
              <w:rPr>
                <w:rFonts w:ascii="Times New Roman" w:hAnsi="Times New Roman"/>
                <w:sz w:val="24"/>
              </w:rPr>
              <w:t xml:space="preserve"> o </w:t>
            </w:r>
            <w:r w:rsidRPr="00E036ED">
              <w:rPr>
                <w:rFonts w:ascii="Times New Roman" w:hAnsi="Times New Roman"/>
                <w:sz w:val="24"/>
              </w:rPr>
              <w:t>vzájomnom započítavaní</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429c ods. 1 nariadenia (EÚ) </w:t>
            </w:r>
            <w:r w:rsidR="00E036ED">
              <w:rPr>
                <w:rFonts w:ascii="Times New Roman" w:hAnsi="Times New Roman"/>
                <w:sz w:val="24"/>
              </w:rPr>
              <w:t>č. </w:t>
            </w:r>
            <w:r w:rsidRPr="00E036ED">
              <w:rPr>
                <w:rFonts w:ascii="Times New Roman" w:hAnsi="Times New Roman"/>
                <w:sz w:val="24"/>
              </w:rPr>
              <w:t>575/2013. Pri určovaní hodnoty expozície uvedených zmlúv môžu inštitúcie zohľadňovať účinky zmlúv</w:t>
            </w:r>
            <w:r w:rsidR="00E036ED">
              <w:rPr>
                <w:rFonts w:ascii="Times New Roman" w:hAnsi="Times New Roman"/>
                <w:sz w:val="24"/>
              </w:rPr>
              <w:t xml:space="preserve"> o </w:t>
            </w:r>
            <w:r w:rsidRPr="00E036ED">
              <w:rPr>
                <w:rFonts w:ascii="Times New Roman" w:hAnsi="Times New Roman"/>
                <w:sz w:val="24"/>
              </w:rPr>
              <w:t>novácii</w:t>
            </w:r>
            <w:r w:rsidR="00E036ED">
              <w:rPr>
                <w:rFonts w:ascii="Times New Roman" w:hAnsi="Times New Roman"/>
                <w:sz w:val="24"/>
              </w:rPr>
              <w:t xml:space="preserve"> a </w:t>
            </w:r>
            <w:r w:rsidRPr="00E036ED">
              <w:rPr>
                <w:rFonts w:ascii="Times New Roman" w:hAnsi="Times New Roman"/>
                <w:sz w:val="24"/>
              </w:rPr>
              <w:t>iných dohôd</w:t>
            </w:r>
            <w:r w:rsidR="00E036ED">
              <w:rPr>
                <w:rFonts w:ascii="Times New Roman" w:hAnsi="Times New Roman"/>
                <w:sz w:val="24"/>
              </w:rPr>
              <w:t xml:space="preserve"> o </w:t>
            </w:r>
            <w:r w:rsidRPr="00E036ED">
              <w:rPr>
                <w:rFonts w:ascii="Times New Roman" w:hAnsi="Times New Roman"/>
                <w:sz w:val="24"/>
              </w:rPr>
              <w:t>vzájomnom započítavaní</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295 nariadenia (EÚ) </w:t>
            </w:r>
            <w:r w:rsidR="00E036ED">
              <w:rPr>
                <w:rFonts w:ascii="Times New Roman" w:hAnsi="Times New Roman"/>
                <w:sz w:val="24"/>
              </w:rPr>
              <w:t>č. </w:t>
            </w:r>
            <w:r w:rsidRPr="00E036ED">
              <w:rPr>
                <w:rFonts w:ascii="Times New Roman" w:hAnsi="Times New Roman"/>
                <w:sz w:val="24"/>
              </w:rPr>
              <w:t>575/2013. Krížové vzájomné započítavanie produktov sa neuplatňuje. Inštitúcie však môžu využívať vzájomné započítavanie</w:t>
            </w:r>
            <w:r w:rsidR="00E036ED">
              <w:rPr>
                <w:rFonts w:ascii="Times New Roman" w:hAnsi="Times New Roman"/>
                <w:sz w:val="24"/>
              </w:rPr>
              <w:t xml:space="preserve"> v </w:t>
            </w:r>
            <w:r w:rsidRPr="00E036ED">
              <w:rPr>
                <w:rFonts w:ascii="Times New Roman" w:hAnsi="Times New Roman"/>
                <w:sz w:val="24"/>
              </w:rPr>
              <w:t>rámci kategórie produktov uvedenej</w:t>
            </w:r>
            <w:r w:rsidR="00E036ED">
              <w:rPr>
                <w:rFonts w:ascii="Times New Roman" w:hAnsi="Times New Roman"/>
                <w:sz w:val="24"/>
              </w:rPr>
              <w:t xml:space="preserve"> v </w:t>
            </w:r>
            <w:r w:rsidRPr="00E036ED">
              <w:rPr>
                <w:rFonts w:ascii="Times New Roman" w:hAnsi="Times New Roman"/>
                <w:sz w:val="24"/>
              </w:rPr>
              <w:t xml:space="preserve">článku 272 ods. 25 písm. c)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v </w:t>
            </w:r>
            <w:r w:rsidRPr="00E036ED">
              <w:rPr>
                <w:rFonts w:ascii="Times New Roman" w:hAnsi="Times New Roman"/>
                <w:sz w:val="24"/>
              </w:rPr>
              <w:t>rámci kreditných derivátov, keď sú predmetom dohody</w:t>
            </w:r>
            <w:r w:rsidR="00E036ED">
              <w:rPr>
                <w:rFonts w:ascii="Times New Roman" w:hAnsi="Times New Roman"/>
                <w:sz w:val="24"/>
              </w:rPr>
              <w:t xml:space="preserve"> o </w:t>
            </w:r>
            <w:r w:rsidRPr="00E036ED">
              <w:rPr>
                <w:rFonts w:ascii="Times New Roman" w:hAnsi="Times New Roman"/>
                <w:sz w:val="24"/>
              </w:rPr>
              <w:t>vzájomnom krížovom započítavaní produktov uvedenej</w:t>
            </w:r>
            <w:r w:rsidR="00E036ED">
              <w:rPr>
                <w:rFonts w:ascii="Times New Roman" w:hAnsi="Times New Roman"/>
                <w:sz w:val="24"/>
              </w:rPr>
              <w:t xml:space="preserve"> v </w:t>
            </w:r>
            <w:r w:rsidRPr="00E036ED">
              <w:rPr>
                <w:rFonts w:ascii="Times New Roman" w:hAnsi="Times New Roman"/>
                <w:sz w:val="24"/>
              </w:rPr>
              <w:t xml:space="preserve">článku 295 písm. c) nariadenia (EÚ) </w:t>
            </w:r>
            <w:r w:rsidR="00E036ED">
              <w:rPr>
                <w:rFonts w:ascii="Times New Roman" w:hAnsi="Times New Roman"/>
                <w:sz w:val="24"/>
              </w:rPr>
              <w:t>č. </w:t>
            </w:r>
            <w:r w:rsidRPr="00E036ED">
              <w:rPr>
                <w:rFonts w:ascii="Times New Roman" w:hAnsi="Times New Roman"/>
                <w:sz w:val="24"/>
              </w:rPr>
              <w:t>575/2013.</w:t>
            </w:r>
          </w:p>
          <w:p w14:paraId="69E09FEC" w14:textId="430965D0" w:rsidR="00646595" w:rsidRPr="00E036ED" w:rsidRDefault="00646595">
            <w:pPr>
              <w:tabs>
                <w:tab w:val="left" w:pos="400"/>
              </w:tabs>
              <w:spacing w:after="120"/>
              <w:jc w:val="both"/>
              <w:rPr>
                <w:rFonts w:ascii="Times New Roman" w:hAnsi="Times New Roman" w:cs="Times New Roman"/>
                <w:sz w:val="24"/>
              </w:rPr>
            </w:pPr>
            <w:r w:rsidRPr="00E036ED">
              <w:rPr>
                <w:rFonts w:ascii="Times New Roman" w:hAnsi="Times New Roman"/>
                <w:sz w:val="24"/>
              </w:rPr>
              <w:t>V súlade</w:t>
            </w:r>
            <w:r w:rsidR="00E036ED">
              <w:rPr>
                <w:rFonts w:ascii="Times New Roman" w:hAnsi="Times New Roman"/>
                <w:sz w:val="24"/>
              </w:rPr>
              <w:t xml:space="preserve"> s </w:t>
            </w:r>
            <w:r w:rsidRPr="00E036ED">
              <w:rPr>
                <w:rFonts w:ascii="Times New Roman" w:hAnsi="Times New Roman"/>
                <w:sz w:val="24"/>
              </w:rPr>
              <w:t xml:space="preserve">článkom 429c ods. 5 nariadenia (EÚ) </w:t>
            </w:r>
            <w:r w:rsidR="00E036ED">
              <w:rPr>
                <w:rFonts w:ascii="Times New Roman" w:hAnsi="Times New Roman"/>
                <w:sz w:val="24"/>
              </w:rPr>
              <w:t>č. </w:t>
            </w:r>
            <w:r w:rsidRPr="00E036ED">
              <w:rPr>
                <w:rFonts w:ascii="Times New Roman" w:hAnsi="Times New Roman"/>
                <w:sz w:val="24"/>
              </w:rPr>
              <w:t>575/2013 inštitúcie stanovujú hodnotu multiplikátora použitého pri výpočte potenciálnej budúcej expozície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278 ods. 1 nariadenia (EÚ) </w:t>
            </w:r>
            <w:r w:rsidR="00E036ED">
              <w:rPr>
                <w:rFonts w:ascii="Times New Roman" w:hAnsi="Times New Roman"/>
                <w:sz w:val="24"/>
              </w:rPr>
              <w:t>č. </w:t>
            </w:r>
            <w:r w:rsidRPr="00E036ED">
              <w:rPr>
                <w:rFonts w:ascii="Times New Roman" w:hAnsi="Times New Roman"/>
                <w:sz w:val="24"/>
              </w:rPr>
              <w:t>575/2013 na hodnotu jeden</w:t>
            </w:r>
            <w:r w:rsidR="00E036ED">
              <w:rPr>
                <w:rFonts w:ascii="Times New Roman" w:hAnsi="Times New Roman"/>
                <w:sz w:val="24"/>
              </w:rPr>
              <w:t xml:space="preserve"> s </w:t>
            </w:r>
            <w:r w:rsidRPr="00E036ED">
              <w:rPr>
                <w:rFonts w:ascii="Times New Roman" w:hAnsi="Times New Roman"/>
                <w:sz w:val="24"/>
              </w:rPr>
              <w:t>výnimkou prípadu zmlúv</w:t>
            </w:r>
            <w:r w:rsidR="00E036ED">
              <w:rPr>
                <w:rFonts w:ascii="Times New Roman" w:hAnsi="Times New Roman"/>
                <w:sz w:val="24"/>
              </w:rPr>
              <w:t xml:space="preserve"> o </w:t>
            </w:r>
            <w:r w:rsidRPr="00E036ED">
              <w:rPr>
                <w:rFonts w:ascii="Times New Roman" w:hAnsi="Times New Roman"/>
                <w:sz w:val="24"/>
              </w:rPr>
              <w:t>derivátoch</w:t>
            </w:r>
            <w:r w:rsidR="00E036ED">
              <w:rPr>
                <w:rFonts w:ascii="Times New Roman" w:hAnsi="Times New Roman"/>
                <w:sz w:val="24"/>
              </w:rPr>
              <w:t xml:space="preserve"> s </w:t>
            </w:r>
            <w:r w:rsidRPr="00E036ED">
              <w:rPr>
                <w:rFonts w:ascii="Times New Roman" w:hAnsi="Times New Roman"/>
                <w:sz w:val="24"/>
              </w:rPr>
              <w:t>klientmi, ak tieto zmluvy zúčtováva QCCP.</w:t>
            </w:r>
          </w:p>
          <w:p w14:paraId="69E09FED" w14:textId="7172CBF2"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nezahŕňajú zmluvy oceňované uplatnením prístupov</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článkom 429c ods. 6, t. j. prístupov uvedených</w:t>
            </w:r>
            <w:r w:rsidR="00E036ED">
              <w:rPr>
                <w:rFonts w:ascii="Times New Roman" w:hAnsi="Times New Roman"/>
                <w:sz w:val="24"/>
              </w:rPr>
              <w:t xml:space="preserve"> v </w:t>
            </w:r>
            <w:r w:rsidRPr="00E036ED">
              <w:rPr>
                <w:rFonts w:ascii="Times New Roman" w:hAnsi="Times New Roman"/>
                <w:sz w:val="24"/>
              </w:rPr>
              <w:t xml:space="preserve">tretej časti hlave II kapitole 6 oddieloch 4 alebo 5 nariadenia (EÚ) </w:t>
            </w:r>
            <w:r w:rsidR="00E036ED">
              <w:rPr>
                <w:rFonts w:ascii="Times New Roman" w:hAnsi="Times New Roman"/>
                <w:sz w:val="24"/>
              </w:rPr>
              <w:t>č. </w:t>
            </w:r>
            <w:r w:rsidRPr="00E036ED">
              <w:rPr>
                <w:rFonts w:ascii="Times New Roman" w:hAnsi="Times New Roman"/>
                <w:sz w:val="24"/>
              </w:rPr>
              <w:t>575/2013</w:t>
            </w:r>
            <w:r w:rsidRPr="00E036ED">
              <w:rPr>
                <w:rFonts w:ascii="Times New Roman" w:hAnsi="Times New Roman"/>
              </w:rPr>
              <w:t xml:space="preserve"> </w:t>
            </w:r>
            <w:r w:rsidRPr="00E036ED">
              <w:rPr>
                <w:rFonts w:ascii="Times New Roman" w:hAnsi="Times New Roman"/>
                <w:sz w:val="24"/>
              </w:rPr>
              <w:t>(zjednodušený SA-CCR alebo metóda pôvodnej expozície).</w:t>
            </w:r>
          </w:p>
        </w:tc>
      </w:tr>
      <w:tr w:rsidR="002312DE" w:rsidRPr="00E036ED" w14:paraId="69E09FF5" w14:textId="77777777" w:rsidTr="009F3999">
        <w:trPr>
          <w:trHeight w:val="2265"/>
        </w:trPr>
        <w:tc>
          <w:tcPr>
            <w:tcW w:w="1380" w:type="dxa"/>
            <w:vAlign w:val="center"/>
          </w:tcPr>
          <w:p w14:paraId="69E09FEF"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EU-9a</w:t>
            </w:r>
          </w:p>
        </w:tc>
        <w:tc>
          <w:tcPr>
            <w:tcW w:w="7659" w:type="dxa"/>
          </w:tcPr>
          <w:p w14:paraId="2380AFD9" w14:textId="77777777" w:rsidR="00E036ED" w:rsidRDefault="00646595" w:rsidP="00E9371F">
            <w:pPr>
              <w:pStyle w:val="Teksttreci0"/>
              <w:shd w:val="clear" w:color="auto" w:fill="auto"/>
              <w:spacing w:after="120" w:line="240" w:lineRule="auto"/>
              <w:ind w:firstLine="0"/>
              <w:jc w:val="left"/>
              <w:rPr>
                <w:rFonts w:ascii="Times New Roman" w:hAnsi="Times New Roman"/>
                <w:b/>
                <w:sz w:val="24"/>
              </w:rPr>
            </w:pPr>
            <w:r w:rsidRPr="00E036ED">
              <w:rPr>
                <w:rFonts w:ascii="Times New Roman" w:hAnsi="Times New Roman"/>
                <w:b/>
                <w:sz w:val="24"/>
              </w:rPr>
              <w:t>Odchýlka pre deriváty: Príspevok potenciálnej budúcej expozície podľa zjednodušeného štandardizovaného prístupu</w:t>
            </w:r>
          </w:p>
          <w:p w14:paraId="69E09FF1" w14:textId="1493A1B3" w:rsidR="00646595" w:rsidRPr="00E036ED" w:rsidRDefault="00646595">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 xml:space="preserve">Článok 429c ods. 5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9FF2" w14:textId="7B8B9CB6" w:rsidR="00646595" w:rsidRPr="00E036ED" w:rsidRDefault="00646595">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Potenciálna budúca expozícia</w:t>
            </w:r>
            <w:r w:rsidR="00E036ED">
              <w:rPr>
                <w:rFonts w:ascii="Times New Roman" w:hAnsi="Times New Roman"/>
                <w:color w:val="auto"/>
                <w:sz w:val="24"/>
              </w:rPr>
              <w:t xml:space="preserve"> v </w:t>
            </w:r>
            <w:r w:rsidRPr="00E036ED">
              <w:rPr>
                <w:rFonts w:ascii="Times New Roman" w:hAnsi="Times New Roman"/>
                <w:color w:val="auto"/>
                <w:sz w:val="24"/>
              </w:rPr>
              <w:t>súlade so zjednodušeným štandardizovaným prístupom stanoveným</w:t>
            </w:r>
            <w:r w:rsidR="00E036ED">
              <w:rPr>
                <w:rFonts w:ascii="Times New Roman" w:hAnsi="Times New Roman"/>
                <w:color w:val="auto"/>
                <w:sz w:val="24"/>
              </w:rPr>
              <w:t xml:space="preserve"> v </w:t>
            </w:r>
            <w:r w:rsidRPr="00E036ED">
              <w:rPr>
                <w:rFonts w:ascii="Times New Roman" w:hAnsi="Times New Roman"/>
                <w:color w:val="auto"/>
                <w:sz w:val="24"/>
              </w:rPr>
              <w:t xml:space="preserve">článku 281 nariadenia (EÚ) </w:t>
            </w:r>
            <w:r w:rsidR="00E036ED">
              <w:rPr>
                <w:rFonts w:ascii="Times New Roman" w:hAnsi="Times New Roman"/>
                <w:color w:val="auto"/>
                <w:sz w:val="24"/>
              </w:rPr>
              <w:t>č. </w:t>
            </w:r>
            <w:r w:rsidRPr="00E036ED">
              <w:rPr>
                <w:rFonts w:ascii="Times New Roman" w:hAnsi="Times New Roman"/>
                <w:color w:val="auto"/>
                <w:sz w:val="24"/>
              </w:rPr>
              <w:t>575/2013 za predpokladu, že multiplikátor je rovný 1. Táto suma sa zverejňuje</w:t>
            </w:r>
            <w:r w:rsidR="00E036ED">
              <w:rPr>
                <w:rFonts w:ascii="Times New Roman" w:hAnsi="Times New Roman"/>
                <w:color w:val="auto"/>
                <w:sz w:val="24"/>
              </w:rPr>
              <w:t xml:space="preserve"> s </w:t>
            </w:r>
            <w:r w:rsidRPr="00E036ED">
              <w:rPr>
                <w:rFonts w:ascii="Times New Roman" w:hAnsi="Times New Roman"/>
                <w:color w:val="auto"/>
                <w:sz w:val="24"/>
              </w:rPr>
              <w:t xml:space="preserve">koeficientom alfa na úrovni 1,4 uplatneným podľa článku 274 ods. 2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9FF3" w14:textId="2EB6FACA" w:rsidR="00646595" w:rsidRPr="00E036ED" w:rsidRDefault="00646595" w:rsidP="17C07D06">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Inštitúcie, ktoré uplatňujú zjednodušený štandardizovaný prístup, neznižujú veľkosť celkovej expozície</w:t>
            </w:r>
            <w:r w:rsidR="00E036ED">
              <w:rPr>
                <w:rFonts w:ascii="Times New Roman" w:hAnsi="Times New Roman"/>
                <w:color w:val="auto"/>
                <w:sz w:val="24"/>
              </w:rPr>
              <w:t xml:space="preserve"> o </w:t>
            </w:r>
            <w:r w:rsidRPr="00E036ED">
              <w:rPr>
                <w:rFonts w:ascii="Times New Roman" w:hAnsi="Times New Roman"/>
                <w:color w:val="auto"/>
                <w:sz w:val="24"/>
              </w:rPr>
              <w:t>sumu marže prijatej</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429c ods. 6 nariadenia (EÚ) </w:t>
            </w:r>
            <w:r w:rsidR="00E036ED">
              <w:rPr>
                <w:rFonts w:ascii="Times New Roman" w:hAnsi="Times New Roman"/>
                <w:color w:val="auto"/>
                <w:sz w:val="24"/>
              </w:rPr>
              <w:t>č. </w:t>
            </w:r>
            <w:r w:rsidRPr="00E036ED">
              <w:rPr>
                <w:rFonts w:ascii="Times New Roman" w:hAnsi="Times New Roman"/>
                <w:color w:val="auto"/>
                <w:sz w:val="24"/>
              </w:rPr>
              <w:t>575/2013. Preto sa neuplatňuje výnimka pre zmluvy</w:t>
            </w:r>
            <w:r w:rsidR="00E036ED">
              <w:rPr>
                <w:rFonts w:ascii="Times New Roman" w:hAnsi="Times New Roman"/>
                <w:color w:val="auto"/>
                <w:sz w:val="24"/>
              </w:rPr>
              <w:t xml:space="preserve"> o </w:t>
            </w:r>
            <w:r w:rsidRPr="00E036ED">
              <w:rPr>
                <w:rFonts w:ascii="Times New Roman" w:hAnsi="Times New Roman"/>
                <w:color w:val="auto"/>
                <w:sz w:val="24"/>
              </w:rPr>
              <w:t>derivátoch</w:t>
            </w:r>
            <w:r w:rsidR="00E036ED">
              <w:rPr>
                <w:rFonts w:ascii="Times New Roman" w:hAnsi="Times New Roman"/>
                <w:color w:val="auto"/>
                <w:sz w:val="24"/>
              </w:rPr>
              <w:t xml:space="preserve"> s </w:t>
            </w:r>
            <w:r w:rsidRPr="00E036ED">
              <w:rPr>
                <w:rFonts w:ascii="Times New Roman" w:hAnsi="Times New Roman"/>
                <w:color w:val="auto"/>
                <w:sz w:val="24"/>
              </w:rPr>
              <w:t xml:space="preserve">klientmi, keď tieto zmluvy zúčtováva QCCP podľa článku 429c ods. 5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9FF4" w14:textId="5A5B5F98"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w:t>
            </w:r>
            <w:r w:rsidR="00E036ED">
              <w:rPr>
                <w:rFonts w:ascii="Times New Roman" w:hAnsi="Times New Roman"/>
                <w:sz w:val="24"/>
              </w:rPr>
              <w:t xml:space="preserve"> v </w:t>
            </w:r>
            <w:r w:rsidRPr="00E036ED">
              <w:rPr>
                <w:rFonts w:ascii="Times New Roman" w:hAnsi="Times New Roman"/>
                <w:sz w:val="24"/>
              </w:rPr>
              <w:t>tejto bunke nezohľadňujú zmluvy oceňované uplatnením SA-CCR alebo metódy pôvodnej expozície.</w:t>
            </w:r>
          </w:p>
        </w:tc>
      </w:tr>
      <w:tr w:rsidR="002312DE" w:rsidRPr="00E036ED" w14:paraId="69E09FFC" w14:textId="77777777" w:rsidTr="009F3999">
        <w:trPr>
          <w:trHeight w:val="558"/>
        </w:trPr>
        <w:tc>
          <w:tcPr>
            <w:tcW w:w="1380" w:type="dxa"/>
            <w:vAlign w:val="center"/>
          </w:tcPr>
          <w:p w14:paraId="69E09FF6"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EU-9b</w:t>
            </w:r>
          </w:p>
        </w:tc>
        <w:tc>
          <w:tcPr>
            <w:tcW w:w="7659" w:type="dxa"/>
          </w:tcPr>
          <w:p w14:paraId="69E09FF7"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Expozícia stanovená na základe metódy pôvodnej expozície</w:t>
            </w:r>
          </w:p>
          <w:p w14:paraId="69E09FF8" w14:textId="29179A95" w:rsidR="00646595" w:rsidRPr="00E036E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Článok 429c ods. 6</w:t>
            </w:r>
            <w:r w:rsidR="00E036ED">
              <w:rPr>
                <w:rFonts w:ascii="Times New Roman" w:hAnsi="Times New Roman"/>
                <w:sz w:val="24"/>
              </w:rPr>
              <w:t xml:space="preserve"> a </w:t>
            </w:r>
            <w:r w:rsidRPr="00E036ED">
              <w:rPr>
                <w:rFonts w:ascii="Times New Roman" w:hAnsi="Times New Roman"/>
                <w:sz w:val="24"/>
              </w:rPr>
              <w:t xml:space="preserve">tretia časť hlava II kapitola 6 oddiel 4 alebo 5 nariadenia (EÚ) </w:t>
            </w:r>
            <w:r w:rsidR="00E036ED">
              <w:rPr>
                <w:rFonts w:ascii="Times New Roman" w:hAnsi="Times New Roman"/>
                <w:sz w:val="24"/>
              </w:rPr>
              <w:t>č. </w:t>
            </w:r>
            <w:r w:rsidRPr="00E036ED">
              <w:rPr>
                <w:rFonts w:ascii="Times New Roman" w:hAnsi="Times New Roman"/>
                <w:sz w:val="24"/>
              </w:rPr>
              <w:t>575/2013.</w:t>
            </w:r>
          </w:p>
          <w:p w14:paraId="69E09FF9" w14:textId="60D16037" w:rsidR="00646595" w:rsidRPr="00E036E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veľkosť expozície zmlúv uvedených</w:t>
            </w:r>
            <w:r w:rsidR="00E036ED">
              <w:rPr>
                <w:rFonts w:ascii="Times New Roman" w:hAnsi="Times New Roman"/>
                <w:sz w:val="24"/>
              </w:rPr>
              <w:t xml:space="preserve"> v </w:t>
            </w:r>
            <w:r w:rsidRPr="00E036ED">
              <w:rPr>
                <w:rFonts w:ascii="Times New Roman" w:hAnsi="Times New Roman"/>
                <w:sz w:val="24"/>
              </w:rPr>
              <w:t>bodoch 1</w:t>
            </w:r>
            <w:r w:rsidR="00E036ED">
              <w:rPr>
                <w:rFonts w:ascii="Times New Roman" w:hAnsi="Times New Roman"/>
                <w:sz w:val="24"/>
              </w:rPr>
              <w:t xml:space="preserve"> a </w:t>
            </w:r>
            <w:r w:rsidRPr="00E036ED">
              <w:rPr>
                <w:rFonts w:ascii="Times New Roman" w:hAnsi="Times New Roman"/>
                <w:sz w:val="24"/>
              </w:rPr>
              <w:t>2 prílohy II</w:t>
            </w:r>
            <w:r w:rsidR="00E036ED">
              <w:rPr>
                <w:rFonts w:ascii="Times New Roman" w:hAnsi="Times New Roman"/>
                <w:sz w:val="24"/>
              </w:rPr>
              <w:t xml:space="preserve"> k </w:t>
            </w:r>
            <w:r w:rsidRPr="00E036ED">
              <w:rPr>
                <w:rFonts w:ascii="Times New Roman" w:hAnsi="Times New Roman"/>
                <w:sz w:val="24"/>
              </w:rPr>
              <w:t xml:space="preserve">nariadeniu (EÚ) </w:t>
            </w:r>
            <w:r w:rsidR="00E036ED">
              <w:rPr>
                <w:rFonts w:ascii="Times New Roman" w:hAnsi="Times New Roman"/>
                <w:sz w:val="24"/>
              </w:rPr>
              <w:t>č. </w:t>
            </w:r>
            <w:r w:rsidRPr="00E036ED">
              <w:rPr>
                <w:rFonts w:ascii="Times New Roman" w:hAnsi="Times New Roman"/>
                <w:sz w:val="24"/>
              </w:rPr>
              <w:t>575/2013 vypočítanú</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metódou pôvodnej expozície stanovenou</w:t>
            </w:r>
            <w:r w:rsidR="00E036ED">
              <w:rPr>
                <w:rFonts w:ascii="Times New Roman" w:hAnsi="Times New Roman"/>
                <w:sz w:val="24"/>
              </w:rPr>
              <w:t xml:space="preserve"> v </w:t>
            </w:r>
            <w:r w:rsidRPr="00E036ED">
              <w:rPr>
                <w:rFonts w:ascii="Times New Roman" w:hAnsi="Times New Roman"/>
                <w:sz w:val="24"/>
              </w:rPr>
              <w:t xml:space="preserve">tretej časti hlave II kapitole 6 oddieloch 4 alebo 5 nariadenia (EÚ) </w:t>
            </w:r>
            <w:r w:rsidR="00E036ED">
              <w:rPr>
                <w:rFonts w:ascii="Times New Roman" w:hAnsi="Times New Roman"/>
                <w:sz w:val="24"/>
              </w:rPr>
              <w:t>č. </w:t>
            </w:r>
            <w:r w:rsidRPr="00E036ED">
              <w:rPr>
                <w:rFonts w:ascii="Times New Roman" w:hAnsi="Times New Roman"/>
                <w:sz w:val="24"/>
              </w:rPr>
              <w:t>575/2013.</w:t>
            </w:r>
          </w:p>
          <w:p w14:paraId="69E09FFA" w14:textId="4F7AB74F" w:rsidR="00646595" w:rsidRPr="00E036E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ktoré uplatňujú metódu pôvodnej expozície, neznižujú veľkosť expozície</w:t>
            </w:r>
            <w:r w:rsidR="00E036ED">
              <w:rPr>
                <w:rFonts w:ascii="Times New Roman" w:hAnsi="Times New Roman"/>
                <w:sz w:val="24"/>
              </w:rPr>
              <w:t xml:space="preserve"> o </w:t>
            </w:r>
            <w:r w:rsidRPr="00E036ED">
              <w:rPr>
                <w:rFonts w:ascii="Times New Roman" w:hAnsi="Times New Roman"/>
                <w:sz w:val="24"/>
              </w:rPr>
              <w:t>sumu marže, ktorú prijali</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429c ods. 6 nariadenia (EÚ) </w:t>
            </w:r>
            <w:r w:rsidR="00E036ED">
              <w:rPr>
                <w:rFonts w:ascii="Times New Roman" w:hAnsi="Times New Roman"/>
                <w:sz w:val="24"/>
              </w:rPr>
              <w:t>č. </w:t>
            </w:r>
            <w:r w:rsidRPr="00E036ED">
              <w:rPr>
                <w:rFonts w:ascii="Times New Roman" w:hAnsi="Times New Roman"/>
                <w:sz w:val="24"/>
              </w:rPr>
              <w:t>575/2013.</w:t>
            </w:r>
          </w:p>
          <w:p w14:paraId="69E09FFB"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ktoré nepoužívajú metódu pôvodnej expozície, túto bunku nezverejňujú.</w:t>
            </w:r>
          </w:p>
        </w:tc>
      </w:tr>
      <w:tr w:rsidR="002312DE" w:rsidRPr="00E036ED" w14:paraId="69E0A003" w14:textId="77777777" w:rsidTr="009F3999">
        <w:trPr>
          <w:trHeight w:val="1408"/>
        </w:trPr>
        <w:tc>
          <w:tcPr>
            <w:tcW w:w="1380" w:type="dxa"/>
            <w:vAlign w:val="center"/>
          </w:tcPr>
          <w:p w14:paraId="69E09FFD"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10</w:t>
            </w:r>
          </w:p>
        </w:tc>
        <w:tc>
          <w:tcPr>
            <w:tcW w:w="7659" w:type="dxa"/>
          </w:tcPr>
          <w:p w14:paraId="69E09FFE"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(Vyňatá časť obchodných expozícií voči centrálnej protistrane pri transakciách zúčtovávaných klientom) (SA-CCR)</w:t>
            </w:r>
          </w:p>
          <w:p w14:paraId="69E09FFF" w14:textId="2712BA48" w:rsidR="00646595" w:rsidRPr="00E036E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 xml:space="preserve"> Článok 429a ods. 1 písm. g)</w:t>
            </w:r>
            <w:r w:rsidR="00E036ED">
              <w:rPr>
                <w:rFonts w:ascii="Times New Roman" w:hAnsi="Times New Roman"/>
                <w:sz w:val="24"/>
              </w:rPr>
              <w:t xml:space="preserve"> a </w:t>
            </w:r>
            <w:r w:rsidRPr="00E036ED">
              <w:rPr>
                <w:rFonts w:ascii="Times New Roman" w:hAnsi="Times New Roman"/>
                <w:sz w:val="24"/>
              </w:rPr>
              <w:t xml:space="preserve">h) nariadenia (EÚ) </w:t>
            </w:r>
            <w:r w:rsidR="00E036ED">
              <w:rPr>
                <w:rFonts w:ascii="Times New Roman" w:hAnsi="Times New Roman"/>
                <w:sz w:val="24"/>
              </w:rPr>
              <w:t>č. </w:t>
            </w:r>
            <w:r w:rsidRPr="00E036ED">
              <w:rPr>
                <w:rFonts w:ascii="Times New Roman" w:hAnsi="Times New Roman"/>
                <w:sz w:val="24"/>
              </w:rPr>
              <w:t>575/2013.</w:t>
            </w:r>
          </w:p>
          <w:p w14:paraId="69E0A000" w14:textId="3791DC65" w:rsidR="00646595" w:rsidRPr="00E036E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vyňaté obchodné expozície voči QCCP vyplývajúce</w:t>
            </w:r>
            <w:r w:rsidR="00E036ED">
              <w:rPr>
                <w:rFonts w:ascii="Times New Roman" w:hAnsi="Times New Roman"/>
                <w:sz w:val="24"/>
              </w:rPr>
              <w:t xml:space="preserve"> z </w:t>
            </w:r>
            <w:r w:rsidRPr="00E036ED">
              <w:rPr>
                <w:rFonts w:ascii="Times New Roman" w:hAnsi="Times New Roman"/>
                <w:sz w:val="24"/>
              </w:rPr>
              <w:t>derivátových transakcií zúčtovávaných klientom (SA-CCR) za predpokladu, že uvedené položky spĺňajú podmienky stanovené</w:t>
            </w:r>
            <w:r w:rsidR="00E036ED">
              <w:rPr>
                <w:rFonts w:ascii="Times New Roman" w:hAnsi="Times New Roman"/>
                <w:sz w:val="24"/>
              </w:rPr>
              <w:t xml:space="preserve"> v </w:t>
            </w:r>
            <w:r w:rsidRPr="00E036ED">
              <w:rPr>
                <w:rFonts w:ascii="Times New Roman" w:hAnsi="Times New Roman"/>
                <w:sz w:val="24"/>
              </w:rPr>
              <w:t xml:space="preserve">článku 306 ods. 1 písm. c) nariadenia (EÚ) </w:t>
            </w:r>
            <w:r w:rsidR="00E036ED">
              <w:rPr>
                <w:rFonts w:ascii="Times New Roman" w:hAnsi="Times New Roman"/>
                <w:sz w:val="24"/>
              </w:rPr>
              <w:t>č. </w:t>
            </w:r>
            <w:r w:rsidRPr="00E036ED">
              <w:rPr>
                <w:rFonts w:ascii="Times New Roman" w:hAnsi="Times New Roman"/>
                <w:sz w:val="24"/>
              </w:rPr>
              <w:t>575/2013.</w:t>
            </w:r>
          </w:p>
          <w:p w14:paraId="69E0A001" w14:textId="5E8CA720"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sa tým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tejto bunke</w:t>
            </w:r>
            <w:r w:rsidR="00E036ED">
              <w:rPr>
                <w:rFonts w:ascii="Times New Roman" w:hAnsi="Times New Roman"/>
                <w:sz w:val="24"/>
              </w:rPr>
              <w:t xml:space="preserve"> v </w:t>
            </w:r>
            <w:r w:rsidRPr="00E036ED">
              <w:rPr>
                <w:rFonts w:ascii="Times New Roman" w:hAnsi="Times New Roman"/>
                <w:sz w:val="24"/>
              </w:rPr>
              <w:t>zátvorkách (záporná hodnota).</w:t>
            </w:r>
          </w:p>
          <w:p w14:paraId="69E0A002" w14:textId="4060019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Zverejňovaná suma musí byť zahrnutá aj</w:t>
            </w:r>
            <w:r w:rsidR="00E036ED">
              <w:rPr>
                <w:rFonts w:ascii="Times New Roman" w:hAnsi="Times New Roman"/>
                <w:sz w:val="24"/>
              </w:rPr>
              <w:t xml:space="preserve"> v </w:t>
            </w:r>
            <w:r w:rsidRPr="00E036ED">
              <w:rPr>
                <w:rFonts w:ascii="Times New Roman" w:hAnsi="Times New Roman"/>
                <w:sz w:val="24"/>
              </w:rPr>
              <w:t>uplatniteľných vyššie uvedených bunkách, ako keby sa neuplatňovalo žiadne vyňatie.</w:t>
            </w:r>
          </w:p>
        </w:tc>
      </w:tr>
      <w:tr w:rsidR="002312DE" w:rsidRPr="00E036ED" w14:paraId="69E0A009" w14:textId="77777777" w:rsidTr="009F3999">
        <w:trPr>
          <w:trHeight w:val="1266"/>
        </w:trPr>
        <w:tc>
          <w:tcPr>
            <w:tcW w:w="1380" w:type="dxa"/>
            <w:vAlign w:val="center"/>
          </w:tcPr>
          <w:p w14:paraId="69E0A004"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EU-10a</w:t>
            </w:r>
          </w:p>
        </w:tc>
        <w:tc>
          <w:tcPr>
            <w:tcW w:w="7659" w:type="dxa"/>
          </w:tcPr>
          <w:p w14:paraId="69E0A005" w14:textId="7777777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(Vyňatá časť obchodných expozícií voči centrálnej protistrane pri transakciách zúčtovávaných klientom) (zjednodušený štandardizovaný prístup)</w:t>
            </w:r>
          </w:p>
          <w:p w14:paraId="69E0A006" w14:textId="0D4FC17E" w:rsidR="00646595" w:rsidRPr="00E036ED" w:rsidRDefault="00646595" w:rsidP="17C07D06">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 xml:space="preserve"> Článok 429a ods. 1 písm. g)</w:t>
            </w:r>
            <w:r w:rsidR="00E036ED">
              <w:rPr>
                <w:rFonts w:ascii="Times New Roman" w:hAnsi="Times New Roman"/>
                <w:color w:val="auto"/>
                <w:sz w:val="24"/>
              </w:rPr>
              <w:t xml:space="preserve"> a </w:t>
            </w:r>
            <w:r w:rsidRPr="00E036ED">
              <w:rPr>
                <w:rFonts w:ascii="Times New Roman" w:hAnsi="Times New Roman"/>
                <w:color w:val="auto"/>
                <w:sz w:val="24"/>
              </w:rPr>
              <w:t xml:space="preserve">h)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07" w14:textId="70CFCBF9" w:rsidR="00646595" w:rsidRPr="00E036ED" w:rsidRDefault="00646595" w:rsidP="17C07D06">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lastRenderedPageBreak/>
              <w:t>Inštitúcie zverejňujú vyňaté obchodné expozície voči QCCP vyplývajúce</w:t>
            </w:r>
            <w:r w:rsidR="00E036ED">
              <w:rPr>
                <w:rFonts w:ascii="Times New Roman" w:hAnsi="Times New Roman"/>
                <w:color w:val="auto"/>
                <w:sz w:val="24"/>
              </w:rPr>
              <w:t xml:space="preserve"> z </w:t>
            </w:r>
            <w:r w:rsidRPr="00E036ED">
              <w:rPr>
                <w:rFonts w:ascii="Times New Roman" w:hAnsi="Times New Roman"/>
                <w:color w:val="auto"/>
                <w:sz w:val="24"/>
              </w:rPr>
              <w:t>derivátových transakcií zúčtovávaných klientom (zjednodušený štandardizovaný prístup) za predpokladu, že uvedené položky spĺňajú podmienky stanovené</w:t>
            </w:r>
            <w:r w:rsidR="00E036ED">
              <w:rPr>
                <w:rFonts w:ascii="Times New Roman" w:hAnsi="Times New Roman"/>
                <w:color w:val="auto"/>
                <w:sz w:val="24"/>
              </w:rPr>
              <w:t xml:space="preserve"> v </w:t>
            </w:r>
            <w:r w:rsidRPr="00E036ED">
              <w:rPr>
                <w:rFonts w:ascii="Times New Roman" w:hAnsi="Times New Roman"/>
                <w:color w:val="auto"/>
                <w:sz w:val="24"/>
              </w:rPr>
              <w:t xml:space="preserve">článku 306 ods. 1 písm. c) nariadenia (EÚ) </w:t>
            </w:r>
            <w:r w:rsidR="00E036ED">
              <w:rPr>
                <w:rFonts w:ascii="Times New Roman" w:hAnsi="Times New Roman"/>
                <w:color w:val="auto"/>
                <w:sz w:val="24"/>
              </w:rPr>
              <w:t>č. </w:t>
            </w:r>
            <w:r w:rsidRPr="00E036ED">
              <w:rPr>
                <w:rFonts w:ascii="Times New Roman" w:hAnsi="Times New Roman"/>
                <w:color w:val="auto"/>
                <w:sz w:val="24"/>
              </w:rPr>
              <w:t>575/2013. Táto suma sa zverejňuje</w:t>
            </w:r>
            <w:r w:rsidR="00E036ED">
              <w:rPr>
                <w:rFonts w:ascii="Times New Roman" w:hAnsi="Times New Roman"/>
                <w:color w:val="auto"/>
                <w:sz w:val="24"/>
              </w:rPr>
              <w:t xml:space="preserve"> s </w:t>
            </w:r>
            <w:r w:rsidRPr="00E036ED">
              <w:rPr>
                <w:rFonts w:ascii="Times New Roman" w:hAnsi="Times New Roman"/>
                <w:color w:val="auto"/>
                <w:sz w:val="24"/>
              </w:rPr>
              <w:t xml:space="preserve">koeficientom alfa na úrovni 1,4 uplatneným podľa článku 274 ods. 2 nariadenia (EÚ) </w:t>
            </w:r>
            <w:r w:rsidR="00E036ED">
              <w:rPr>
                <w:rFonts w:ascii="Times New Roman" w:hAnsi="Times New Roman"/>
                <w:color w:val="auto"/>
                <w:sz w:val="24"/>
              </w:rPr>
              <w:t>č. </w:t>
            </w:r>
            <w:r w:rsidRPr="00E036ED">
              <w:rPr>
                <w:rFonts w:ascii="Times New Roman" w:hAnsi="Times New Roman"/>
                <w:color w:val="auto"/>
                <w:sz w:val="24"/>
              </w:rPr>
              <w:t>575/2013 (záporná hodnota).</w:t>
            </w:r>
          </w:p>
          <w:p w14:paraId="69E0A008" w14:textId="5B1784A0" w:rsidR="00646595" w:rsidRPr="00E036ED" w:rsidRDefault="00646595" w:rsidP="00E9371F">
            <w:pPr>
              <w:pStyle w:val="BodyText1"/>
              <w:spacing w:line="240" w:lineRule="auto"/>
              <w:rPr>
                <w:rStyle w:val="TeksttreciPogrubienie"/>
                <w:rFonts w:ascii="Times New Roman" w:hAnsi="Times New Roman" w:cs="Times New Roman"/>
                <w:color w:val="auto"/>
                <w:sz w:val="24"/>
                <w:szCs w:val="24"/>
              </w:rPr>
            </w:pPr>
            <w:r w:rsidRPr="00E036ED">
              <w:rPr>
                <w:rFonts w:ascii="Times New Roman" w:hAnsi="Times New Roman"/>
                <w:color w:val="auto"/>
                <w:sz w:val="24"/>
              </w:rPr>
              <w:t>Zverejňovaná suma musí byť zahrnutá aj</w:t>
            </w:r>
            <w:r w:rsidR="00E036ED">
              <w:rPr>
                <w:rFonts w:ascii="Times New Roman" w:hAnsi="Times New Roman"/>
                <w:color w:val="auto"/>
                <w:sz w:val="24"/>
              </w:rPr>
              <w:t xml:space="preserve"> v </w:t>
            </w:r>
            <w:r w:rsidRPr="00E036ED">
              <w:rPr>
                <w:rFonts w:ascii="Times New Roman" w:hAnsi="Times New Roman"/>
                <w:color w:val="auto"/>
                <w:sz w:val="24"/>
              </w:rPr>
              <w:t>uplatniteľných vyššie uvedených bunkách, ako keby sa neuplatňovalo žiadne vyňatie.</w:t>
            </w:r>
          </w:p>
        </w:tc>
      </w:tr>
      <w:tr w:rsidR="002312DE" w:rsidRPr="00E036ED" w14:paraId="69E0A010" w14:textId="77777777" w:rsidTr="009F3999">
        <w:trPr>
          <w:trHeight w:val="558"/>
        </w:trPr>
        <w:tc>
          <w:tcPr>
            <w:tcW w:w="1380" w:type="dxa"/>
            <w:vAlign w:val="center"/>
          </w:tcPr>
          <w:p w14:paraId="69E0A00A"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EU-10b</w:t>
            </w:r>
          </w:p>
        </w:tc>
        <w:tc>
          <w:tcPr>
            <w:tcW w:w="7659" w:type="dxa"/>
          </w:tcPr>
          <w:p w14:paraId="69E0A00B"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(Vyňatá časť obchodných expozícií voči centrálnej protistrane pri transakciách zúčtovávaných klientom)</w:t>
            </w:r>
            <w:r w:rsidRPr="00E036ED">
              <w:rPr>
                <w:rFonts w:ascii="Times New Roman" w:hAnsi="Times New Roman"/>
                <w:sz w:val="24"/>
              </w:rPr>
              <w:t xml:space="preserve"> </w:t>
            </w:r>
            <w:r w:rsidRPr="00E036ED">
              <w:rPr>
                <w:rStyle w:val="TeksttreciPogrubienie"/>
                <w:rFonts w:ascii="Times New Roman" w:hAnsi="Times New Roman"/>
                <w:color w:val="auto"/>
                <w:sz w:val="24"/>
              </w:rPr>
              <w:t>(metóda pôvodnej expozície)</w:t>
            </w:r>
          </w:p>
          <w:p w14:paraId="69E0A00C" w14:textId="64052724" w:rsidR="00646595" w:rsidRPr="00E036E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Článok 429a ods. 1 písm. g)</w:t>
            </w:r>
            <w:r w:rsidR="00E036ED">
              <w:rPr>
                <w:rFonts w:ascii="Times New Roman" w:hAnsi="Times New Roman"/>
                <w:sz w:val="24"/>
              </w:rPr>
              <w:t xml:space="preserve"> a </w:t>
            </w:r>
            <w:r w:rsidRPr="00E036ED">
              <w:rPr>
                <w:rFonts w:ascii="Times New Roman" w:hAnsi="Times New Roman"/>
                <w:sz w:val="24"/>
              </w:rPr>
              <w:t xml:space="preserve">h) nariadenia (EÚ) </w:t>
            </w:r>
            <w:r w:rsidR="00E036ED">
              <w:rPr>
                <w:rFonts w:ascii="Times New Roman" w:hAnsi="Times New Roman"/>
                <w:sz w:val="24"/>
              </w:rPr>
              <w:t>č. </w:t>
            </w:r>
            <w:r w:rsidRPr="00E036ED">
              <w:rPr>
                <w:rFonts w:ascii="Times New Roman" w:hAnsi="Times New Roman"/>
                <w:sz w:val="24"/>
              </w:rPr>
              <w:t>575/2013.</w:t>
            </w:r>
          </w:p>
          <w:p w14:paraId="69E0A00D" w14:textId="187E8425" w:rsidR="00646595" w:rsidRPr="00E036E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vyňaté obchodné expozície voči QCCP vyplývajúce</w:t>
            </w:r>
            <w:r w:rsidR="00E036ED">
              <w:rPr>
                <w:rFonts w:ascii="Times New Roman" w:hAnsi="Times New Roman"/>
                <w:sz w:val="24"/>
              </w:rPr>
              <w:t xml:space="preserve"> z </w:t>
            </w:r>
            <w:r w:rsidRPr="00E036ED">
              <w:rPr>
                <w:rFonts w:ascii="Times New Roman" w:hAnsi="Times New Roman"/>
                <w:sz w:val="24"/>
              </w:rPr>
              <w:t>derivátových transakcií zúčtovávaných klientom (metóda pôvodnej expozície) za predpokladu, že uvedené položky spĺňajú podmienky stanovené</w:t>
            </w:r>
            <w:r w:rsidR="00E036ED">
              <w:rPr>
                <w:rFonts w:ascii="Times New Roman" w:hAnsi="Times New Roman"/>
                <w:sz w:val="24"/>
              </w:rPr>
              <w:t xml:space="preserve"> v </w:t>
            </w:r>
            <w:r w:rsidRPr="00E036ED">
              <w:rPr>
                <w:rFonts w:ascii="Times New Roman" w:hAnsi="Times New Roman"/>
                <w:sz w:val="24"/>
              </w:rPr>
              <w:t xml:space="preserve">článku 306 ods. 1 písm. c) nariadenia (EÚ) </w:t>
            </w:r>
            <w:r w:rsidR="00E036ED">
              <w:rPr>
                <w:rFonts w:ascii="Times New Roman" w:hAnsi="Times New Roman"/>
                <w:sz w:val="24"/>
              </w:rPr>
              <w:t>č. </w:t>
            </w:r>
            <w:r w:rsidRPr="00E036ED">
              <w:rPr>
                <w:rFonts w:ascii="Times New Roman" w:hAnsi="Times New Roman"/>
                <w:sz w:val="24"/>
              </w:rPr>
              <w:t>575/2013.</w:t>
            </w:r>
          </w:p>
          <w:p w14:paraId="69E0A00E" w14:textId="750FB843"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sa tým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tejto bunke</w:t>
            </w:r>
            <w:r w:rsidR="00E036ED">
              <w:rPr>
                <w:rFonts w:ascii="Times New Roman" w:hAnsi="Times New Roman"/>
                <w:sz w:val="24"/>
              </w:rPr>
              <w:t xml:space="preserve"> v </w:t>
            </w:r>
            <w:r w:rsidRPr="00E036ED">
              <w:rPr>
                <w:rFonts w:ascii="Times New Roman" w:hAnsi="Times New Roman"/>
                <w:sz w:val="24"/>
              </w:rPr>
              <w:t>zátvorkách (záporná hodnota).</w:t>
            </w:r>
          </w:p>
          <w:p w14:paraId="69E0A00F" w14:textId="2876D3E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Zverejňovaná suma musí byť zahrnutá aj</w:t>
            </w:r>
            <w:r w:rsidR="00E036ED">
              <w:rPr>
                <w:rFonts w:ascii="Times New Roman" w:hAnsi="Times New Roman"/>
                <w:sz w:val="24"/>
              </w:rPr>
              <w:t xml:space="preserve"> v </w:t>
            </w:r>
            <w:r w:rsidRPr="00E036ED">
              <w:rPr>
                <w:rFonts w:ascii="Times New Roman" w:hAnsi="Times New Roman"/>
                <w:sz w:val="24"/>
              </w:rPr>
              <w:t>uplatniteľných vyššie uvedených bunkách, ako keby sa neuplatňovalo žiadne vyňatie.</w:t>
            </w:r>
          </w:p>
        </w:tc>
      </w:tr>
      <w:tr w:rsidR="002312DE" w:rsidRPr="00E036ED" w14:paraId="69E0A015" w14:textId="77777777" w:rsidTr="009F3999">
        <w:trPr>
          <w:trHeight w:val="1587"/>
        </w:trPr>
        <w:tc>
          <w:tcPr>
            <w:tcW w:w="1380" w:type="dxa"/>
            <w:vAlign w:val="center"/>
          </w:tcPr>
          <w:p w14:paraId="69E0A011"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11</w:t>
            </w:r>
          </w:p>
        </w:tc>
        <w:tc>
          <w:tcPr>
            <w:tcW w:w="7659" w:type="dxa"/>
          </w:tcPr>
          <w:p w14:paraId="69E0A012"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Upravená efektívna pomyselná hodnota vypísaných kreditných derivátov</w:t>
            </w:r>
          </w:p>
          <w:p w14:paraId="69E0A013" w14:textId="45DC66E3" w:rsidR="00646595" w:rsidRPr="00E036E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 xml:space="preserve">Článok 429d nariadenia (EÚ) </w:t>
            </w:r>
            <w:r w:rsidR="00E036ED">
              <w:rPr>
                <w:rFonts w:ascii="Times New Roman" w:hAnsi="Times New Roman"/>
                <w:sz w:val="24"/>
              </w:rPr>
              <w:t>č. </w:t>
            </w:r>
            <w:r w:rsidRPr="00E036ED">
              <w:rPr>
                <w:rFonts w:ascii="Times New Roman" w:hAnsi="Times New Roman"/>
                <w:sz w:val="24"/>
              </w:rPr>
              <w:t>575/2013.</w:t>
            </w:r>
          </w:p>
          <w:p w14:paraId="69E0A014" w14:textId="1ACC4541" w:rsidR="00646595" w:rsidRPr="00E036E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zhora ohraničenú pomyselnú hodnotu vypísaných kreditných derivátov (t. j. keď inštitúcia poskytuje protistrane kreditné zabezpečenie), ako je stanovené</w:t>
            </w:r>
            <w:r w:rsidR="00E036ED">
              <w:rPr>
                <w:rFonts w:ascii="Times New Roman" w:hAnsi="Times New Roman"/>
                <w:sz w:val="24"/>
              </w:rPr>
              <w:t xml:space="preserve"> v </w:t>
            </w:r>
            <w:r w:rsidRPr="00E036ED">
              <w:rPr>
                <w:rFonts w:ascii="Times New Roman" w:hAnsi="Times New Roman"/>
                <w:sz w:val="24"/>
              </w:rPr>
              <w:t xml:space="preserve">článku 429d nariadenia (EÚ) </w:t>
            </w:r>
            <w:r w:rsidR="00E036ED">
              <w:rPr>
                <w:rFonts w:ascii="Times New Roman" w:hAnsi="Times New Roman"/>
                <w:sz w:val="24"/>
              </w:rPr>
              <w:t>č. </w:t>
            </w:r>
            <w:r w:rsidRPr="00E036ED">
              <w:rPr>
                <w:rFonts w:ascii="Times New Roman" w:hAnsi="Times New Roman"/>
                <w:sz w:val="24"/>
              </w:rPr>
              <w:t>575/2013.</w:t>
            </w:r>
          </w:p>
        </w:tc>
      </w:tr>
      <w:tr w:rsidR="002312DE" w:rsidRPr="00E036ED" w14:paraId="69E0A01C" w14:textId="77777777" w:rsidTr="009F3999">
        <w:trPr>
          <w:trHeight w:val="850"/>
        </w:trPr>
        <w:tc>
          <w:tcPr>
            <w:tcW w:w="1380" w:type="dxa"/>
            <w:vAlign w:val="center"/>
          </w:tcPr>
          <w:p w14:paraId="69E0A016"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12</w:t>
            </w:r>
          </w:p>
        </w:tc>
        <w:tc>
          <w:tcPr>
            <w:tcW w:w="7659" w:type="dxa"/>
          </w:tcPr>
          <w:p w14:paraId="69E0A017" w14:textId="385E6641"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(Upravené efektívne pomyselné kompenzácie</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odpočítania dodatočných hodnôt</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prípade vypísaných kreditných derivátov)</w:t>
            </w:r>
          </w:p>
          <w:p w14:paraId="69E0A018" w14:textId="1B563DC5" w:rsidR="00646595" w:rsidRPr="00E036E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 xml:space="preserve">Článok 429d nariadenia (EÚ) </w:t>
            </w:r>
            <w:r w:rsidR="00E036ED">
              <w:rPr>
                <w:rFonts w:ascii="Times New Roman" w:hAnsi="Times New Roman"/>
                <w:sz w:val="24"/>
              </w:rPr>
              <w:t>č. </w:t>
            </w:r>
            <w:r w:rsidRPr="00E036ED">
              <w:rPr>
                <w:rFonts w:ascii="Times New Roman" w:hAnsi="Times New Roman"/>
                <w:sz w:val="24"/>
              </w:rPr>
              <w:t>575/2013.</w:t>
            </w:r>
          </w:p>
          <w:p w14:paraId="69E0A019" w14:textId="38C308D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zhora ohraničenú pomyselnú hodnotu kúpených kreditných derivátov (t. j. keď inštitúcia kupuje od protistrany kreditné zabezpečenie) na rovnaké referenčné názvy, ako sú tie kreditné deriváty, ktoré inštitúcia vypísala, ak sa zostatková splatnosť kúpeného zabezpečenia rovná alebo je väčšia než zostatková splatnosť predaného zabezpečenia. Takže hodnota za každý referenčný názov nesmie byť väčšia než hodnota uvedená</w:t>
            </w:r>
            <w:r w:rsidR="00E036ED">
              <w:rPr>
                <w:rFonts w:ascii="Times New Roman" w:hAnsi="Times New Roman"/>
                <w:sz w:val="24"/>
              </w:rPr>
              <w:t xml:space="preserve"> v </w:t>
            </w:r>
            <w:r w:rsidRPr="00E036ED">
              <w:rPr>
                <w:rFonts w:ascii="Times New Roman" w:hAnsi="Times New Roman"/>
                <w:sz w:val="24"/>
              </w:rPr>
              <w:t>riadku 11 vzoru EU LR2 – LRCom.</w:t>
            </w:r>
          </w:p>
          <w:p w14:paraId="69E0A01A" w14:textId="2CAA29B3"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sa zverejnenou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tejto bunke</w:t>
            </w:r>
            <w:r w:rsidR="00E036ED">
              <w:rPr>
                <w:rFonts w:ascii="Times New Roman" w:hAnsi="Times New Roman"/>
                <w:sz w:val="24"/>
              </w:rPr>
              <w:t xml:space="preserve"> v </w:t>
            </w:r>
            <w:r w:rsidRPr="00E036ED">
              <w:rPr>
                <w:rFonts w:ascii="Times New Roman" w:hAnsi="Times New Roman"/>
                <w:sz w:val="24"/>
              </w:rPr>
              <w:t>zátvorkách (záporná hodnota).</w:t>
            </w:r>
          </w:p>
          <w:p w14:paraId="69E0A01B" w14:textId="231EB8E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Zverejňovaná suma musí byť zahrnutá aj</w:t>
            </w:r>
            <w:r w:rsidR="00E036ED">
              <w:rPr>
                <w:rFonts w:ascii="Times New Roman" w:hAnsi="Times New Roman"/>
                <w:sz w:val="24"/>
              </w:rPr>
              <w:t xml:space="preserve"> v </w:t>
            </w:r>
            <w:r w:rsidRPr="00E036ED">
              <w:rPr>
                <w:rFonts w:ascii="Times New Roman" w:hAnsi="Times New Roman"/>
                <w:sz w:val="24"/>
              </w:rPr>
              <w:t>predchádzajúcej bunke, ako keby sa neuplatňovala žiadna úprava.</w:t>
            </w:r>
          </w:p>
        </w:tc>
      </w:tr>
      <w:tr w:rsidR="002312DE" w:rsidRPr="00E036ED" w14:paraId="69E0A020" w14:textId="77777777" w:rsidTr="009F3999">
        <w:trPr>
          <w:trHeight w:val="949"/>
        </w:trPr>
        <w:tc>
          <w:tcPr>
            <w:tcW w:w="1380" w:type="dxa"/>
            <w:vAlign w:val="center"/>
          </w:tcPr>
          <w:p w14:paraId="69E0A01D"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13</w:t>
            </w:r>
          </w:p>
        </w:tc>
        <w:tc>
          <w:tcPr>
            <w:tcW w:w="7659" w:type="dxa"/>
          </w:tcPr>
          <w:p w14:paraId="27C11172" w14:textId="77777777" w:rsidR="00E036ED" w:rsidRDefault="00646595" w:rsidP="00E9371F">
            <w:pPr>
              <w:pStyle w:val="Teksttreci0"/>
              <w:shd w:val="clear" w:color="auto" w:fill="auto"/>
              <w:spacing w:after="120" w:line="240" w:lineRule="auto"/>
              <w:ind w:firstLine="0"/>
              <w:rPr>
                <w:rStyle w:val="TeksttreciPogrubienie"/>
                <w:rFonts w:ascii="Times New Roman" w:hAnsi="Times New Roman"/>
                <w:color w:val="auto"/>
                <w:sz w:val="24"/>
              </w:rPr>
            </w:pPr>
            <w:r w:rsidRPr="00E036ED">
              <w:rPr>
                <w:rStyle w:val="TeksttreciPogrubienie"/>
                <w:rFonts w:ascii="Times New Roman" w:hAnsi="Times New Roman"/>
                <w:color w:val="auto"/>
                <w:sz w:val="24"/>
              </w:rPr>
              <w:t>Derivátové expozície spolu</w:t>
            </w:r>
          </w:p>
          <w:p w14:paraId="69E0A01F" w14:textId="1AE6EA8E" w:rsidR="00646595" w:rsidRPr="00E036E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E036ED">
              <w:rPr>
                <w:rStyle w:val="TeksttreciPogrubienie"/>
                <w:rFonts w:ascii="Times New Roman" w:hAnsi="Times New Roman"/>
                <w:color w:val="auto"/>
                <w:sz w:val="24"/>
              </w:rPr>
              <w:t>Súčet riadkov 8 až 12.</w:t>
            </w:r>
          </w:p>
        </w:tc>
      </w:tr>
      <w:tr w:rsidR="002312DE" w:rsidRPr="00E036ED" w14:paraId="69E0A027" w14:textId="77777777" w:rsidTr="009F3999">
        <w:trPr>
          <w:trHeight w:val="708"/>
        </w:trPr>
        <w:tc>
          <w:tcPr>
            <w:tcW w:w="1380" w:type="dxa"/>
            <w:vAlign w:val="center"/>
          </w:tcPr>
          <w:p w14:paraId="69E0A021"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14</w:t>
            </w:r>
          </w:p>
        </w:tc>
        <w:tc>
          <w:tcPr>
            <w:tcW w:w="7659" w:type="dxa"/>
          </w:tcPr>
          <w:p w14:paraId="69E0A022" w14:textId="39F11985"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Hrubé aktíva SFT (bez vykázania vzájomného započítania), po úprave</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transakcie na základe účtovania predajov</w:t>
            </w:r>
          </w:p>
          <w:p w14:paraId="69E0A023" w14:textId="670C5E74" w:rsidR="00646595" w:rsidRPr="00E036ED"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Článok 4 ods. 1 bod 77, článok 206</w:t>
            </w:r>
            <w:r w:rsidR="00E036ED">
              <w:rPr>
                <w:rFonts w:ascii="Times New Roman" w:hAnsi="Times New Roman"/>
                <w:sz w:val="24"/>
              </w:rPr>
              <w:t xml:space="preserve"> a </w:t>
            </w:r>
            <w:r w:rsidRPr="00E036ED">
              <w:rPr>
                <w:rFonts w:ascii="Times New Roman" w:hAnsi="Times New Roman"/>
                <w:sz w:val="24"/>
              </w:rPr>
              <w:t xml:space="preserve">článok 429e ods. 6 nariadenia (EÚ) </w:t>
            </w:r>
            <w:r w:rsidR="00E036ED">
              <w:rPr>
                <w:rFonts w:ascii="Times New Roman" w:hAnsi="Times New Roman"/>
                <w:sz w:val="24"/>
              </w:rPr>
              <w:t>č. </w:t>
            </w:r>
            <w:r w:rsidRPr="00E036ED">
              <w:rPr>
                <w:rFonts w:ascii="Times New Roman" w:hAnsi="Times New Roman"/>
                <w:sz w:val="24"/>
              </w:rPr>
              <w:t>575/2013.</w:t>
            </w:r>
          </w:p>
          <w:p w14:paraId="69E0A024" w14:textId="20A0CE1D"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na základe uplatniteľného účtovného rámca zverejňujú účtovnú hodnotu tých SFT</w:t>
            </w:r>
            <w:r w:rsidR="00E036ED">
              <w:rPr>
                <w:rFonts w:ascii="Times New Roman" w:hAnsi="Times New Roman"/>
                <w:sz w:val="24"/>
              </w:rPr>
              <w:t xml:space="preserve"> v </w:t>
            </w:r>
            <w:r w:rsidRPr="00E036ED">
              <w:rPr>
                <w:rFonts w:ascii="Times New Roman" w:hAnsi="Times New Roman"/>
                <w:sz w:val="24"/>
              </w:rPr>
              <w:t>súvahe, na ktoré sa vzťahuje rámcová dohoda</w:t>
            </w:r>
            <w:r w:rsidR="00E036ED">
              <w:rPr>
                <w:rFonts w:ascii="Times New Roman" w:hAnsi="Times New Roman"/>
                <w:sz w:val="24"/>
              </w:rPr>
              <w:t xml:space="preserve"> o </w:t>
            </w:r>
            <w:r w:rsidRPr="00E036ED">
              <w:rPr>
                <w:rFonts w:ascii="Times New Roman" w:hAnsi="Times New Roman"/>
                <w:sz w:val="24"/>
              </w:rPr>
              <w:t xml:space="preserve">vzájomnom započítavaní, ako aj SFT, na ktoré sa takáto dohoda nevzťahuje, prípustných podľa článku 206 nariadenia (EÚ) </w:t>
            </w:r>
            <w:r w:rsidR="00E036ED">
              <w:rPr>
                <w:rFonts w:ascii="Times New Roman" w:hAnsi="Times New Roman"/>
                <w:sz w:val="24"/>
              </w:rPr>
              <w:t>č. </w:t>
            </w:r>
            <w:r w:rsidRPr="00E036ED">
              <w:rPr>
                <w:rFonts w:ascii="Times New Roman" w:hAnsi="Times New Roman"/>
                <w:sz w:val="24"/>
              </w:rPr>
              <w:t>575/2013, ak sa dané zmluvy vykazujú</w:t>
            </w:r>
            <w:r w:rsidR="00E036ED">
              <w:rPr>
                <w:rFonts w:ascii="Times New Roman" w:hAnsi="Times New Roman"/>
                <w:sz w:val="24"/>
              </w:rPr>
              <w:t xml:space="preserve"> v </w:t>
            </w:r>
            <w:r w:rsidRPr="00E036ED">
              <w:rPr>
                <w:rFonts w:ascii="Times New Roman" w:hAnsi="Times New Roman"/>
                <w:sz w:val="24"/>
              </w:rPr>
              <w:t>súvahe ako aktíva,</w:t>
            </w:r>
            <w:r w:rsidR="00E036ED">
              <w:rPr>
                <w:rFonts w:ascii="Times New Roman" w:hAnsi="Times New Roman"/>
                <w:sz w:val="24"/>
              </w:rPr>
              <w:t xml:space="preserve"> a </w:t>
            </w:r>
            <w:r w:rsidRPr="00E036ED">
              <w:rPr>
                <w:rFonts w:ascii="Times New Roman" w:hAnsi="Times New Roman"/>
                <w:sz w:val="24"/>
              </w:rPr>
              <w:t>to za predpokladu, že nedôjde</w:t>
            </w:r>
            <w:r w:rsidR="00E036ED">
              <w:rPr>
                <w:rFonts w:ascii="Times New Roman" w:hAnsi="Times New Roman"/>
                <w:sz w:val="24"/>
              </w:rPr>
              <w:t xml:space="preserve"> k </w:t>
            </w:r>
            <w:r w:rsidRPr="00E036ED">
              <w:rPr>
                <w:rFonts w:ascii="Times New Roman" w:hAnsi="Times New Roman"/>
                <w:sz w:val="24"/>
              </w:rPr>
              <w:t>uplatneniu žiadneho prudenciálneho alebo účtovného vzájomného započítavania ani účinkov zmierňovania rizika (t. j. účtovná hodnota</w:t>
            </w:r>
            <w:r w:rsidR="00E036ED">
              <w:rPr>
                <w:rFonts w:ascii="Times New Roman" w:hAnsi="Times New Roman"/>
                <w:sz w:val="24"/>
              </w:rPr>
              <w:t xml:space="preserve"> v </w:t>
            </w:r>
            <w:r w:rsidRPr="00E036ED">
              <w:rPr>
                <w:rFonts w:ascii="Times New Roman" w:hAnsi="Times New Roman"/>
                <w:sz w:val="24"/>
              </w:rPr>
              <w:t>súvahe upravená</w:t>
            </w:r>
            <w:r w:rsidR="00E036ED">
              <w:rPr>
                <w:rFonts w:ascii="Times New Roman" w:hAnsi="Times New Roman"/>
                <w:sz w:val="24"/>
              </w:rPr>
              <w:t xml:space="preserve"> o </w:t>
            </w:r>
            <w:r w:rsidRPr="00E036ED">
              <w:rPr>
                <w:rFonts w:ascii="Times New Roman" w:hAnsi="Times New Roman"/>
                <w:sz w:val="24"/>
              </w:rPr>
              <w:t>účinky účtovného vzájomného započítavania alebo zmierňovania rizika).</w:t>
            </w:r>
          </w:p>
          <w:p w14:paraId="69E0A025" w14:textId="01FC4C25"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 sa navyše na základe uplatniteľného účtovného rámca dosiahne pre SFT účtovanie predaja, inštitúcie vykonajú reverzne všetky účtovné záznamy súvisiace</w:t>
            </w:r>
            <w:r w:rsidR="00E036ED">
              <w:rPr>
                <w:rFonts w:ascii="Times New Roman" w:hAnsi="Times New Roman"/>
                <w:sz w:val="24"/>
              </w:rPr>
              <w:t xml:space="preserve"> s </w:t>
            </w:r>
            <w:r w:rsidRPr="00E036ED">
              <w:rPr>
                <w:rFonts w:ascii="Times New Roman" w:hAnsi="Times New Roman"/>
                <w:sz w:val="24"/>
              </w:rPr>
              <w:t>predajom</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429e ods. 6 nariadenia (EÚ) </w:t>
            </w:r>
            <w:r w:rsidR="00E036ED">
              <w:rPr>
                <w:rFonts w:ascii="Times New Roman" w:hAnsi="Times New Roman"/>
                <w:sz w:val="24"/>
              </w:rPr>
              <w:t>č. </w:t>
            </w:r>
            <w:r w:rsidRPr="00E036ED">
              <w:rPr>
                <w:rFonts w:ascii="Times New Roman" w:hAnsi="Times New Roman"/>
                <w:sz w:val="24"/>
              </w:rPr>
              <w:t>575/2013.</w:t>
            </w:r>
          </w:p>
          <w:p w14:paraId="69E0A026" w14:textId="39E84BE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nezahŕňajú prijatú peňažnú hotovosť ani akýkoľvek cenný papier, ktorý je poskytnutý protistrane prostredníctvom uvedených transakcií</w:t>
            </w:r>
            <w:r w:rsidR="00E036ED">
              <w:rPr>
                <w:rFonts w:ascii="Times New Roman" w:hAnsi="Times New Roman"/>
                <w:sz w:val="24"/>
              </w:rPr>
              <w:t xml:space="preserve"> a </w:t>
            </w:r>
            <w:r w:rsidRPr="00E036ED">
              <w:rPr>
                <w:rFonts w:ascii="Times New Roman" w:hAnsi="Times New Roman"/>
                <w:sz w:val="24"/>
              </w:rPr>
              <w:t>ktorý sa ponechal</w:t>
            </w:r>
            <w:r w:rsidR="00E036ED">
              <w:rPr>
                <w:rFonts w:ascii="Times New Roman" w:hAnsi="Times New Roman"/>
                <w:sz w:val="24"/>
              </w:rPr>
              <w:t xml:space="preserve"> v </w:t>
            </w:r>
            <w:r w:rsidRPr="00E036ED">
              <w:rPr>
                <w:rFonts w:ascii="Times New Roman" w:hAnsi="Times New Roman"/>
                <w:sz w:val="24"/>
              </w:rPr>
              <w:t>súvahe (t. j. nie sú splnené účtovné kritériá pre ukončenie vykazovania).</w:t>
            </w:r>
          </w:p>
        </w:tc>
      </w:tr>
      <w:tr w:rsidR="002312DE" w:rsidRPr="00E036ED" w14:paraId="69E0A02D" w14:textId="77777777" w:rsidTr="009F3999">
        <w:trPr>
          <w:trHeight w:val="557"/>
        </w:trPr>
        <w:tc>
          <w:tcPr>
            <w:tcW w:w="1380" w:type="dxa"/>
            <w:vAlign w:val="center"/>
          </w:tcPr>
          <w:p w14:paraId="69E0A028" w14:textId="77777777" w:rsidR="00646595" w:rsidRPr="00E036ED" w:rsidRDefault="00646595" w:rsidP="00E9371F">
            <w:pPr>
              <w:pStyle w:val="Applicationdirecte"/>
              <w:spacing w:before="0"/>
              <w:jc w:val="center"/>
            </w:pPr>
            <w:r w:rsidRPr="00E036ED">
              <w:t>15</w:t>
            </w:r>
          </w:p>
        </w:tc>
        <w:tc>
          <w:tcPr>
            <w:tcW w:w="7659" w:type="dxa"/>
          </w:tcPr>
          <w:p w14:paraId="69E0A029" w14:textId="1EC1083A"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(Vzájomne započítané sumy peňažných záväzkov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peňažných pohľadávok hrubých aktív SFT)</w:t>
            </w:r>
          </w:p>
          <w:p w14:paraId="69E0A02A" w14:textId="2A751ADC"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Článok 4 ods. 1 bod 77, článok 206, článok 429b ods. 1 písm. b), článok 429b ods. 4</w:t>
            </w:r>
            <w:r w:rsidR="00E036ED">
              <w:rPr>
                <w:rFonts w:ascii="Times New Roman" w:hAnsi="Times New Roman"/>
                <w:sz w:val="24"/>
              </w:rPr>
              <w:t xml:space="preserve"> a </w:t>
            </w:r>
            <w:r w:rsidRPr="00E036ED">
              <w:rPr>
                <w:rFonts w:ascii="Times New Roman" w:hAnsi="Times New Roman"/>
                <w:sz w:val="24"/>
              </w:rPr>
              <w:t xml:space="preserve">článok 429e ods. 6 nariadenia (EÚ) </w:t>
            </w:r>
            <w:r w:rsidR="00E036ED">
              <w:rPr>
                <w:rFonts w:ascii="Times New Roman" w:hAnsi="Times New Roman"/>
                <w:sz w:val="24"/>
              </w:rPr>
              <w:t>č. </w:t>
            </w:r>
            <w:r w:rsidRPr="00E036ED">
              <w:rPr>
                <w:rFonts w:ascii="Times New Roman" w:hAnsi="Times New Roman"/>
                <w:sz w:val="24"/>
              </w:rPr>
              <w:t>575/2013.</w:t>
            </w:r>
          </w:p>
          <w:p w14:paraId="69E0A02B" w14:textId="780C809A"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hodnotu peňažných záväzkov hrubých aktív SFT, ktoré boli vzájomne započítané</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429b ods. 4 nariadenia (EÚ) </w:t>
            </w:r>
            <w:r w:rsidR="00E036ED">
              <w:rPr>
                <w:rFonts w:ascii="Times New Roman" w:hAnsi="Times New Roman"/>
                <w:sz w:val="24"/>
              </w:rPr>
              <w:t>č. </w:t>
            </w:r>
            <w:r w:rsidRPr="00E036ED">
              <w:rPr>
                <w:rFonts w:ascii="Times New Roman" w:hAnsi="Times New Roman"/>
                <w:sz w:val="24"/>
              </w:rPr>
              <w:t>575/2013.</w:t>
            </w:r>
          </w:p>
          <w:p w14:paraId="69E0A02C" w14:textId="2392D020"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táto úprava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34" w14:textId="77777777" w:rsidTr="009F3999">
        <w:trPr>
          <w:trHeight w:val="2265"/>
        </w:trPr>
        <w:tc>
          <w:tcPr>
            <w:tcW w:w="1380" w:type="dxa"/>
            <w:vAlign w:val="center"/>
          </w:tcPr>
          <w:p w14:paraId="69E0A02E"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16</w:t>
            </w:r>
          </w:p>
        </w:tc>
        <w:tc>
          <w:tcPr>
            <w:tcW w:w="7659" w:type="dxa"/>
          </w:tcPr>
          <w:p w14:paraId="69E0A02F" w14:textId="0F53F97E"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Expozícia voči kreditnému riziku protistrany</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prípade aktív SFT</w:t>
            </w:r>
          </w:p>
          <w:p w14:paraId="69E0A030" w14:textId="4FD217D4"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 xml:space="preserve">Článok 429e ods. 1 nariadenia (EÚ) </w:t>
            </w:r>
            <w:r w:rsidR="00E036ED">
              <w:rPr>
                <w:rFonts w:ascii="Times New Roman" w:hAnsi="Times New Roman"/>
                <w:sz w:val="24"/>
              </w:rPr>
              <w:t>č. </w:t>
            </w:r>
            <w:r w:rsidRPr="00E036ED">
              <w:rPr>
                <w:rFonts w:ascii="Times New Roman" w:hAnsi="Times New Roman"/>
                <w:sz w:val="24"/>
              </w:rPr>
              <w:t>575/2013.</w:t>
            </w:r>
          </w:p>
          <w:p w14:paraId="69E0A031" w14:textId="09B7B8E1"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dodatočnú hodnotu kreditného rizika protistrany SFT vrátane podsúvahových SFT, stanovenú</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429e ods. 2 alebo 3 nariadenia (EÚ) </w:t>
            </w:r>
            <w:r w:rsidR="00E036ED">
              <w:rPr>
                <w:rFonts w:ascii="Times New Roman" w:hAnsi="Times New Roman"/>
                <w:sz w:val="24"/>
              </w:rPr>
              <w:t>č. </w:t>
            </w:r>
            <w:r w:rsidRPr="00E036ED">
              <w:rPr>
                <w:rFonts w:ascii="Times New Roman" w:hAnsi="Times New Roman"/>
                <w:sz w:val="24"/>
              </w:rPr>
              <w:t>575/2013, podľa konkrétneho prípadu.</w:t>
            </w:r>
          </w:p>
          <w:p w14:paraId="69E0A032" w14:textId="6DF0A3DC"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zahrnú transakcie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429e ods. 7 písm. c) nariadenia (EÚ) </w:t>
            </w:r>
            <w:r w:rsidR="00E036ED">
              <w:rPr>
                <w:rFonts w:ascii="Times New Roman" w:hAnsi="Times New Roman"/>
                <w:sz w:val="24"/>
              </w:rPr>
              <w:t>č. </w:t>
            </w:r>
            <w:r w:rsidRPr="00E036ED">
              <w:rPr>
                <w:rFonts w:ascii="Times New Roman" w:hAnsi="Times New Roman"/>
                <w:sz w:val="24"/>
              </w:rPr>
              <w:t>575/2013.</w:t>
            </w:r>
          </w:p>
          <w:p w14:paraId="69E0A033" w14:textId="6562CA5E"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nezahŕňajú SFT,</w:t>
            </w:r>
            <w:r w:rsidR="00E036ED">
              <w:rPr>
                <w:rFonts w:ascii="Times New Roman" w:hAnsi="Times New Roman"/>
                <w:sz w:val="24"/>
              </w:rPr>
              <w:t xml:space="preserve"> v </w:t>
            </w:r>
            <w:r w:rsidRPr="00E036ED">
              <w:rPr>
                <w:rFonts w:ascii="Times New Roman" w:hAnsi="Times New Roman"/>
                <w:sz w:val="24"/>
              </w:rPr>
              <w:t>ktorých konajú ako zástupcovia, ak daná inštitúcia klientovi alebo protistrane poskytuje sľub odškodnenia alebo záruku obmedzenú na akýkoľvek rozdiel medzi hodnotou cenného papiera alebo hotovosti, ktorú požičal klient,</w:t>
            </w:r>
            <w:r w:rsidR="00E036ED">
              <w:rPr>
                <w:rFonts w:ascii="Times New Roman" w:hAnsi="Times New Roman"/>
                <w:sz w:val="24"/>
              </w:rPr>
              <w:t xml:space="preserve"> a </w:t>
            </w:r>
            <w:r w:rsidRPr="00E036ED">
              <w:rPr>
                <w:rFonts w:ascii="Times New Roman" w:hAnsi="Times New Roman"/>
                <w:sz w:val="24"/>
              </w:rPr>
              <w:t>hodnotou kolaterálu, ktorý poskytol dlžník,</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429e ods. 7 písm. a) nariadenia (EÚ) </w:t>
            </w:r>
            <w:r w:rsidR="00E036ED">
              <w:rPr>
                <w:rFonts w:ascii="Times New Roman" w:hAnsi="Times New Roman"/>
                <w:sz w:val="24"/>
              </w:rPr>
              <w:t>č. </w:t>
            </w:r>
            <w:r w:rsidRPr="00E036ED">
              <w:rPr>
                <w:rFonts w:ascii="Times New Roman" w:hAnsi="Times New Roman"/>
                <w:sz w:val="24"/>
              </w:rPr>
              <w:t xml:space="preserve">575/2013. </w:t>
            </w:r>
          </w:p>
        </w:tc>
      </w:tr>
      <w:tr w:rsidR="002312DE" w:rsidRPr="00E036ED" w14:paraId="69E0A03B" w14:textId="77777777" w:rsidTr="009F3999">
        <w:trPr>
          <w:trHeight w:val="555"/>
        </w:trPr>
        <w:tc>
          <w:tcPr>
            <w:tcW w:w="1380" w:type="dxa"/>
            <w:vAlign w:val="center"/>
          </w:tcPr>
          <w:p w14:paraId="69E0A035"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EU-16a</w:t>
            </w:r>
          </w:p>
        </w:tc>
        <w:tc>
          <w:tcPr>
            <w:tcW w:w="7659" w:type="dxa"/>
          </w:tcPr>
          <w:p w14:paraId="50F090B2" w14:textId="77777777"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Style w:val="TeksttreciPogrubienie"/>
                <w:rFonts w:ascii="Times New Roman" w:hAnsi="Times New Roman"/>
                <w:color w:val="auto"/>
                <w:sz w:val="24"/>
              </w:rPr>
              <w:t>Odchýlka pre SFT: Expozícia voči kreditnému riziku protistrany</w:t>
            </w:r>
            <w:r w:rsidR="00E036ED">
              <w:rPr>
                <w:rStyle w:val="TeksttreciPogrubienie"/>
                <w:rFonts w:ascii="Times New Roman" w:hAnsi="Times New Roman"/>
                <w:color w:val="auto"/>
                <w:sz w:val="24"/>
              </w:rPr>
              <w:t xml:space="preserve"> </w:t>
            </w:r>
            <w:r w:rsidR="00E036ED">
              <w:rPr>
                <w:rStyle w:val="TeksttreciPogrubienie"/>
                <w:rFonts w:ascii="Times New Roman" w:hAnsi="Times New Roman"/>
                <w:color w:val="auto"/>
                <w:sz w:val="24"/>
              </w:rPr>
              <w:lastRenderedPageBreak/>
              <w:t>v </w:t>
            </w:r>
            <w:r w:rsidRPr="00E036ED">
              <w:rPr>
                <w:rStyle w:val="TeksttreciPogrubienie"/>
                <w:rFonts w:ascii="Times New Roman" w:hAnsi="Times New Roman"/>
                <w:color w:val="auto"/>
                <w:sz w:val="24"/>
              </w:rPr>
              <w:t>súlade</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článkom 429e ods. 5</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článkom 222 CRR</w:t>
            </w:r>
          </w:p>
          <w:p w14:paraId="69E0A037" w14:textId="34E5B48A"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Článok 429e ods. 5</w:t>
            </w:r>
            <w:r w:rsidR="00E036ED">
              <w:rPr>
                <w:rFonts w:ascii="Times New Roman" w:hAnsi="Times New Roman"/>
                <w:sz w:val="24"/>
              </w:rPr>
              <w:t xml:space="preserve"> a </w:t>
            </w:r>
            <w:r w:rsidRPr="00E036ED">
              <w:rPr>
                <w:rFonts w:ascii="Times New Roman" w:hAnsi="Times New Roman"/>
                <w:sz w:val="24"/>
              </w:rPr>
              <w:t xml:space="preserve">článok 222 nariadenia (EÚ) </w:t>
            </w:r>
            <w:r w:rsidR="00E036ED">
              <w:rPr>
                <w:rFonts w:ascii="Times New Roman" w:hAnsi="Times New Roman"/>
                <w:sz w:val="24"/>
              </w:rPr>
              <w:t>č. </w:t>
            </w:r>
            <w:r w:rsidRPr="00E036ED">
              <w:rPr>
                <w:rFonts w:ascii="Times New Roman" w:hAnsi="Times New Roman"/>
                <w:sz w:val="24"/>
              </w:rPr>
              <w:t>575/2013.</w:t>
            </w:r>
          </w:p>
          <w:p w14:paraId="69E0A038" w14:textId="56DA0CF8"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dodatočnú hodnotu pre SFT vrátane podsúvahových SFT, vypočítanú</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222 nariadenia (EÚ) </w:t>
            </w:r>
            <w:r w:rsidR="00E036ED">
              <w:rPr>
                <w:rFonts w:ascii="Times New Roman" w:hAnsi="Times New Roman"/>
                <w:sz w:val="24"/>
              </w:rPr>
              <w:t>č. </w:t>
            </w:r>
            <w:r w:rsidRPr="00E036ED">
              <w:rPr>
                <w:rFonts w:ascii="Times New Roman" w:hAnsi="Times New Roman"/>
                <w:sz w:val="24"/>
              </w:rPr>
              <w:t>575/2013, pričom sa uplatňuje dolné ohraničenie uplatniteľnej rizikovej váhy na úrovni 20</w:t>
            </w:r>
            <w:r w:rsidR="00E036ED">
              <w:rPr>
                <w:rFonts w:ascii="Times New Roman" w:hAnsi="Times New Roman"/>
                <w:sz w:val="24"/>
              </w:rPr>
              <w:t> %</w:t>
            </w:r>
            <w:r w:rsidRPr="00E036ED">
              <w:rPr>
                <w:rFonts w:ascii="Times New Roman" w:hAnsi="Times New Roman"/>
                <w:sz w:val="24"/>
              </w:rPr>
              <w:t>.</w:t>
            </w:r>
          </w:p>
          <w:p w14:paraId="69E0A039" w14:textId="0B330A9A"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zahŕňajú transakcie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429e ods. 7 písm. c) nariadenia (EÚ) </w:t>
            </w:r>
            <w:r w:rsidR="00E036ED">
              <w:rPr>
                <w:rFonts w:ascii="Times New Roman" w:hAnsi="Times New Roman"/>
                <w:sz w:val="24"/>
              </w:rPr>
              <w:t>č. </w:t>
            </w:r>
            <w:r w:rsidRPr="00E036ED">
              <w:rPr>
                <w:rFonts w:ascii="Times New Roman" w:hAnsi="Times New Roman"/>
                <w:sz w:val="24"/>
              </w:rPr>
              <w:t>575/2013.</w:t>
            </w:r>
          </w:p>
          <w:p w14:paraId="69E0A03A" w14:textId="340FFD72"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nezahŕňajú transakcie, pre ktoré sa dodatočná hodnota danej hodnoty expozície ukazovateľa finančnej páky určuje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metódou vymedzenou</w:t>
            </w:r>
            <w:r w:rsidR="00E036ED">
              <w:rPr>
                <w:rFonts w:ascii="Times New Roman" w:hAnsi="Times New Roman"/>
                <w:sz w:val="24"/>
              </w:rPr>
              <w:t xml:space="preserve"> v </w:t>
            </w:r>
            <w:r w:rsidRPr="00E036ED">
              <w:rPr>
                <w:rFonts w:ascii="Times New Roman" w:hAnsi="Times New Roman"/>
                <w:sz w:val="24"/>
              </w:rPr>
              <w:t xml:space="preserve">článku 429e ods. 1 nariadenia (EÚ) </w:t>
            </w:r>
            <w:r w:rsidR="00E036ED">
              <w:rPr>
                <w:rFonts w:ascii="Times New Roman" w:hAnsi="Times New Roman"/>
                <w:sz w:val="24"/>
              </w:rPr>
              <w:t>č. </w:t>
            </w:r>
            <w:r w:rsidRPr="00E036ED">
              <w:rPr>
                <w:rFonts w:ascii="Times New Roman" w:hAnsi="Times New Roman"/>
                <w:sz w:val="24"/>
              </w:rPr>
              <w:t>575/2013.</w:t>
            </w:r>
          </w:p>
        </w:tc>
      </w:tr>
      <w:tr w:rsidR="002312DE" w:rsidRPr="00E036ED" w14:paraId="69E0A041" w14:textId="77777777" w:rsidTr="009F3999">
        <w:trPr>
          <w:trHeight w:val="1134"/>
        </w:trPr>
        <w:tc>
          <w:tcPr>
            <w:tcW w:w="1380" w:type="dxa"/>
            <w:vAlign w:val="center"/>
          </w:tcPr>
          <w:p w14:paraId="69E0A03C"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17</w:t>
            </w:r>
          </w:p>
        </w:tc>
        <w:tc>
          <w:tcPr>
            <w:tcW w:w="7659" w:type="dxa"/>
          </w:tcPr>
          <w:p w14:paraId="69E0A03D" w14:textId="0A1765EC"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Expozície transakcií,</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ktorých inštitúcia koná ako zástupca</w:t>
            </w:r>
          </w:p>
          <w:p w14:paraId="69E0A03E" w14:textId="5520A5CE" w:rsidR="00646595" w:rsidRPr="00E036ED" w:rsidRDefault="00646595" w:rsidP="5E9D3914">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Článok 429e ods. 2</w:t>
            </w:r>
            <w:r w:rsidR="00E036ED">
              <w:rPr>
                <w:rFonts w:ascii="Times New Roman" w:hAnsi="Times New Roman"/>
                <w:sz w:val="24"/>
              </w:rPr>
              <w:t xml:space="preserve"> a </w:t>
            </w:r>
            <w:r w:rsidRPr="00E036ED">
              <w:rPr>
                <w:rFonts w:ascii="Times New Roman" w:hAnsi="Times New Roman"/>
                <w:sz w:val="24"/>
              </w:rPr>
              <w:t>3</w:t>
            </w:r>
            <w:r w:rsidR="00E036ED">
              <w:rPr>
                <w:rFonts w:ascii="Times New Roman" w:hAnsi="Times New Roman"/>
                <w:sz w:val="24"/>
              </w:rPr>
              <w:t xml:space="preserve"> a </w:t>
            </w:r>
            <w:r w:rsidRPr="00E036ED">
              <w:rPr>
                <w:rFonts w:ascii="Times New Roman" w:hAnsi="Times New Roman"/>
                <w:sz w:val="24"/>
              </w:rPr>
              <w:t xml:space="preserve">článok 429e ods. 7 písm. a) nariadenia (EÚ) </w:t>
            </w:r>
            <w:r w:rsidR="00E036ED">
              <w:rPr>
                <w:rFonts w:ascii="Times New Roman" w:hAnsi="Times New Roman"/>
                <w:sz w:val="24"/>
              </w:rPr>
              <w:t>č. </w:t>
            </w:r>
            <w:r w:rsidRPr="00E036ED">
              <w:rPr>
                <w:rFonts w:ascii="Times New Roman" w:hAnsi="Times New Roman"/>
                <w:sz w:val="24"/>
              </w:rPr>
              <w:t>575/2013.</w:t>
            </w:r>
          </w:p>
          <w:p w14:paraId="69E0A03F" w14:textId="58CE3742"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hodnotu expozície SFT,</w:t>
            </w:r>
            <w:r w:rsidR="00E036ED">
              <w:rPr>
                <w:rFonts w:ascii="Times New Roman" w:hAnsi="Times New Roman"/>
                <w:sz w:val="24"/>
              </w:rPr>
              <w:t xml:space="preserve"> v </w:t>
            </w:r>
            <w:r w:rsidRPr="00E036ED">
              <w:rPr>
                <w:rFonts w:ascii="Times New Roman" w:hAnsi="Times New Roman"/>
                <w:sz w:val="24"/>
              </w:rPr>
              <w:t>ktorých konajú ako zástupcovia, ak daná inštitúcia klientovi alebo protistrane poskytuje sľub odškodnenia alebo záruku obmedzenú na akýkoľvek rozdiel medzi hodnotou cenného papiera alebo hotovosti, ktorú požičal klient,</w:t>
            </w:r>
            <w:r w:rsidR="00E036ED">
              <w:rPr>
                <w:rFonts w:ascii="Times New Roman" w:hAnsi="Times New Roman"/>
                <w:sz w:val="24"/>
              </w:rPr>
              <w:t xml:space="preserve"> a </w:t>
            </w:r>
            <w:r w:rsidRPr="00E036ED">
              <w:rPr>
                <w:rFonts w:ascii="Times New Roman" w:hAnsi="Times New Roman"/>
                <w:sz w:val="24"/>
              </w:rPr>
              <w:t>hodnotou kolaterálu, ktorý poskytol dlžník,</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429e ods. 7 písm. a) nariadenia (EÚ) </w:t>
            </w:r>
            <w:r w:rsidR="00E036ED">
              <w:rPr>
                <w:rFonts w:ascii="Times New Roman" w:hAnsi="Times New Roman"/>
                <w:sz w:val="24"/>
              </w:rPr>
              <w:t>č. </w:t>
            </w:r>
            <w:r w:rsidRPr="00E036ED">
              <w:rPr>
                <w:rFonts w:ascii="Times New Roman" w:hAnsi="Times New Roman"/>
                <w:sz w:val="24"/>
              </w:rPr>
              <w:t>575/2013. Hodnota expozície pozostáva len</w:t>
            </w:r>
            <w:r w:rsidR="00E036ED">
              <w:rPr>
                <w:rFonts w:ascii="Times New Roman" w:hAnsi="Times New Roman"/>
                <w:sz w:val="24"/>
              </w:rPr>
              <w:t xml:space="preserve"> z </w:t>
            </w:r>
            <w:r w:rsidRPr="00E036ED">
              <w:rPr>
                <w:rFonts w:ascii="Times New Roman" w:hAnsi="Times New Roman"/>
                <w:sz w:val="24"/>
              </w:rPr>
              <w:t>dodatočnej hodnoty určenej</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429e ods. 2 alebo 3 nariadenia (EÚ) </w:t>
            </w:r>
            <w:r w:rsidR="00E036ED">
              <w:rPr>
                <w:rFonts w:ascii="Times New Roman" w:hAnsi="Times New Roman"/>
                <w:sz w:val="24"/>
              </w:rPr>
              <w:t>č. </w:t>
            </w:r>
            <w:r w:rsidRPr="00E036ED">
              <w:rPr>
                <w:rFonts w:ascii="Times New Roman" w:hAnsi="Times New Roman"/>
                <w:sz w:val="24"/>
              </w:rPr>
              <w:t>575/2013, podľa konkrétneho prípadu.</w:t>
            </w:r>
          </w:p>
          <w:p w14:paraId="69E0A040" w14:textId="57CC8FE2"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do tejto bunky nezahŕňajú transakcie</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429e ods. 7 písm. c) nariadenia (EÚ) </w:t>
            </w:r>
            <w:r w:rsidR="00E036ED">
              <w:rPr>
                <w:rFonts w:ascii="Times New Roman" w:hAnsi="Times New Roman"/>
                <w:sz w:val="24"/>
              </w:rPr>
              <w:t>č. </w:t>
            </w:r>
            <w:r w:rsidRPr="00E036ED">
              <w:rPr>
                <w:rFonts w:ascii="Times New Roman" w:hAnsi="Times New Roman"/>
                <w:sz w:val="24"/>
              </w:rPr>
              <w:t>575/2013.</w:t>
            </w:r>
          </w:p>
        </w:tc>
      </w:tr>
      <w:tr w:rsidR="002312DE" w:rsidRPr="00E036ED" w14:paraId="69E0A049" w14:textId="77777777" w:rsidTr="009F3999">
        <w:trPr>
          <w:trHeight w:val="978"/>
        </w:trPr>
        <w:tc>
          <w:tcPr>
            <w:tcW w:w="1380" w:type="dxa"/>
            <w:vAlign w:val="center"/>
          </w:tcPr>
          <w:p w14:paraId="69E0A042"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EU-17a</w:t>
            </w:r>
          </w:p>
        </w:tc>
        <w:tc>
          <w:tcPr>
            <w:tcW w:w="7659" w:type="dxa"/>
          </w:tcPr>
          <w:p w14:paraId="69E0A043"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(Vyňatá časť expozícií voči centrálnej protistrane pri transakciách SFT zúčtovávaných klientom)</w:t>
            </w:r>
          </w:p>
          <w:p w14:paraId="26BF112F" w14:textId="146B0438"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Fonts w:ascii="Times New Roman" w:hAnsi="Times New Roman"/>
                <w:sz w:val="24"/>
              </w:rPr>
              <w:t>Článok 429a ods. 1 písm. g)</w:t>
            </w:r>
            <w:r w:rsidR="00E036ED">
              <w:rPr>
                <w:rFonts w:ascii="Times New Roman" w:hAnsi="Times New Roman"/>
                <w:sz w:val="24"/>
              </w:rPr>
              <w:t xml:space="preserve"> a </w:t>
            </w:r>
            <w:r w:rsidRPr="00E036ED">
              <w:rPr>
                <w:rFonts w:ascii="Times New Roman" w:hAnsi="Times New Roman"/>
                <w:sz w:val="24"/>
              </w:rPr>
              <w:t>h)</w:t>
            </w:r>
            <w:r w:rsidR="00E036ED">
              <w:rPr>
                <w:rFonts w:ascii="Times New Roman" w:hAnsi="Times New Roman"/>
                <w:sz w:val="24"/>
              </w:rPr>
              <w:t xml:space="preserve"> a </w:t>
            </w:r>
            <w:r w:rsidRPr="00E036ED">
              <w:rPr>
                <w:rFonts w:ascii="Times New Roman" w:hAnsi="Times New Roman"/>
                <w:sz w:val="24"/>
              </w:rPr>
              <w:t xml:space="preserve">článok 306 ods. 1 písm. c)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w:t>
            </w:r>
          </w:p>
          <w:p w14:paraId="69E0A045" w14:textId="1CB4E0D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vyňatú časť obchodných expozícií SFT zúčtovávaných klientom prostredníctvom kvalifikovanej centrálnej protistrany za predpokladu, že uvedené položky spĺňajú podmienky stanovené</w:t>
            </w:r>
            <w:r w:rsidR="00E036ED">
              <w:rPr>
                <w:rFonts w:ascii="Times New Roman" w:hAnsi="Times New Roman"/>
                <w:sz w:val="24"/>
              </w:rPr>
              <w:t xml:space="preserve"> v </w:t>
            </w:r>
            <w:r w:rsidRPr="00E036ED">
              <w:rPr>
                <w:rFonts w:ascii="Times New Roman" w:hAnsi="Times New Roman"/>
                <w:sz w:val="24"/>
              </w:rPr>
              <w:t xml:space="preserve">článku 306 ods. 1 písm. c) nariadenia (EÚ) </w:t>
            </w:r>
            <w:r w:rsidR="00E036ED">
              <w:rPr>
                <w:rFonts w:ascii="Times New Roman" w:hAnsi="Times New Roman"/>
                <w:sz w:val="24"/>
              </w:rPr>
              <w:t>č. </w:t>
            </w:r>
            <w:r w:rsidRPr="00E036ED">
              <w:rPr>
                <w:rFonts w:ascii="Times New Roman" w:hAnsi="Times New Roman"/>
                <w:sz w:val="24"/>
              </w:rPr>
              <w:t>575/2013.</w:t>
            </w:r>
          </w:p>
          <w:p w14:paraId="69E0A046" w14:textId="0AAC2590"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 vyňatá časť expozície zúčtovávanej prostredníctvom centrálnej protistrany je cenným papierom, nezahŕňa sa do tejto bunky, ak nejde</w:t>
            </w:r>
            <w:r w:rsidR="00E036ED">
              <w:rPr>
                <w:rFonts w:ascii="Times New Roman" w:hAnsi="Times New Roman"/>
                <w:sz w:val="24"/>
              </w:rPr>
              <w:t xml:space="preserve"> o </w:t>
            </w:r>
            <w:r w:rsidRPr="00E036ED">
              <w:rPr>
                <w:rFonts w:ascii="Times New Roman" w:hAnsi="Times New Roman"/>
                <w:sz w:val="24"/>
              </w:rPr>
              <w:t>opätovne založený cenný papier, ktorý sa na základe uplatniteľného účtovného rámca [t. j.</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111 ods. 1 prvou vetou nariadenia (EÚ) </w:t>
            </w:r>
            <w:r w:rsidR="00E036ED">
              <w:rPr>
                <w:rFonts w:ascii="Times New Roman" w:hAnsi="Times New Roman"/>
                <w:sz w:val="24"/>
              </w:rPr>
              <w:t>č. </w:t>
            </w:r>
            <w:r w:rsidRPr="00E036ED">
              <w:rPr>
                <w:rFonts w:ascii="Times New Roman" w:hAnsi="Times New Roman"/>
                <w:sz w:val="24"/>
              </w:rPr>
              <w:t>575/2013] zahŕňa</w:t>
            </w:r>
            <w:r w:rsidR="00E036ED">
              <w:rPr>
                <w:rFonts w:ascii="Times New Roman" w:hAnsi="Times New Roman"/>
                <w:sz w:val="24"/>
              </w:rPr>
              <w:t xml:space="preserve"> v </w:t>
            </w:r>
            <w:r w:rsidRPr="00E036ED">
              <w:rPr>
                <w:rFonts w:ascii="Times New Roman" w:hAnsi="Times New Roman"/>
                <w:sz w:val="24"/>
              </w:rPr>
              <w:t>plnej hodnote.</w:t>
            </w:r>
          </w:p>
          <w:p w14:paraId="69E0A047" w14:textId="31041DB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táto úprava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p w14:paraId="69E0A048" w14:textId="48F425ED"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Zverejňovaná suma musí byť zahrnutá aj</w:t>
            </w:r>
            <w:r w:rsidR="00E036ED">
              <w:rPr>
                <w:rFonts w:ascii="Times New Roman" w:hAnsi="Times New Roman"/>
                <w:sz w:val="24"/>
              </w:rPr>
              <w:t xml:space="preserve"> v </w:t>
            </w:r>
            <w:r w:rsidRPr="00E036ED">
              <w:rPr>
                <w:rFonts w:ascii="Times New Roman" w:hAnsi="Times New Roman"/>
                <w:sz w:val="24"/>
              </w:rPr>
              <w:t>uplatniteľných vyššie uvedených bunkách, ako keby sa neuplatňovalo žiadne vyňatie.</w:t>
            </w:r>
          </w:p>
        </w:tc>
      </w:tr>
      <w:tr w:rsidR="002312DE" w:rsidRPr="00E036ED" w14:paraId="69E0A04D" w14:textId="77777777" w:rsidTr="009F3999">
        <w:trPr>
          <w:trHeight w:val="862"/>
        </w:trPr>
        <w:tc>
          <w:tcPr>
            <w:tcW w:w="1380" w:type="dxa"/>
            <w:vAlign w:val="center"/>
          </w:tcPr>
          <w:p w14:paraId="69E0A04A"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18</w:t>
            </w:r>
          </w:p>
        </w:tc>
        <w:tc>
          <w:tcPr>
            <w:tcW w:w="7659" w:type="dxa"/>
          </w:tcPr>
          <w:p w14:paraId="69E0A04B" w14:textId="77777777"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Celkové expozície voči transakciám financovania prostredníctvom cenných papierov</w:t>
            </w:r>
          </w:p>
          <w:p w14:paraId="69E0A04C"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E036ED">
              <w:rPr>
                <w:rStyle w:val="TeksttreciPogrubienie"/>
                <w:rFonts w:ascii="Times New Roman" w:hAnsi="Times New Roman"/>
                <w:color w:val="auto"/>
                <w:sz w:val="24"/>
              </w:rPr>
              <w:t>Súčet riadkov 14 až EU-17a.</w:t>
            </w:r>
          </w:p>
        </w:tc>
      </w:tr>
      <w:tr w:rsidR="002312DE" w:rsidRPr="00E036ED" w14:paraId="69E0A052" w14:textId="77777777" w:rsidTr="009F3999">
        <w:trPr>
          <w:trHeight w:val="1590"/>
        </w:trPr>
        <w:tc>
          <w:tcPr>
            <w:tcW w:w="1380" w:type="dxa"/>
            <w:vAlign w:val="center"/>
          </w:tcPr>
          <w:p w14:paraId="69E0A04E"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19</w:t>
            </w:r>
          </w:p>
        </w:tc>
        <w:tc>
          <w:tcPr>
            <w:tcW w:w="7659" w:type="dxa"/>
          </w:tcPr>
          <w:p w14:paraId="69E0A04F" w14:textId="495C5856"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Podsúvahové expozície</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hrubej pomyselnej hodnote</w:t>
            </w:r>
          </w:p>
          <w:p w14:paraId="69E0A050" w14:textId="21A5A36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Článok 429f nariadenia (EÚ) </w:t>
            </w:r>
            <w:r w:rsidR="00E036ED">
              <w:rPr>
                <w:rFonts w:ascii="Times New Roman" w:hAnsi="Times New Roman"/>
                <w:sz w:val="24"/>
              </w:rPr>
              <w:t>č. </w:t>
            </w:r>
            <w:r w:rsidRPr="00E036ED">
              <w:rPr>
                <w:rFonts w:ascii="Times New Roman" w:hAnsi="Times New Roman"/>
                <w:sz w:val="24"/>
              </w:rPr>
              <w:t>575/2013.</w:t>
            </w:r>
          </w:p>
          <w:p w14:paraId="69E0A051" w14:textId="0BADD9CC"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nominálnu hodnotu všetkých podsúvahových položiek podľa vymedzenia</w:t>
            </w:r>
            <w:r w:rsidR="00E036ED">
              <w:rPr>
                <w:rFonts w:ascii="Times New Roman" w:hAnsi="Times New Roman"/>
                <w:sz w:val="24"/>
              </w:rPr>
              <w:t xml:space="preserve"> v </w:t>
            </w:r>
            <w:r w:rsidRPr="00E036ED">
              <w:rPr>
                <w:rFonts w:ascii="Times New Roman" w:hAnsi="Times New Roman"/>
                <w:sz w:val="24"/>
              </w:rPr>
              <w:t xml:space="preserve">článku 429f nariadenia (EÚ) </w:t>
            </w:r>
            <w:r w:rsidR="00E036ED">
              <w:rPr>
                <w:rFonts w:ascii="Times New Roman" w:hAnsi="Times New Roman"/>
                <w:sz w:val="24"/>
              </w:rPr>
              <w:t>č. </w:t>
            </w:r>
            <w:r w:rsidRPr="00E036ED">
              <w:rPr>
                <w:rFonts w:ascii="Times New Roman" w:hAnsi="Times New Roman"/>
                <w:sz w:val="24"/>
              </w:rPr>
              <w:t>575/2013 pred akoukoľvek úpravou</w:t>
            </w:r>
            <w:r w:rsidR="00E036ED">
              <w:rPr>
                <w:rFonts w:ascii="Times New Roman" w:hAnsi="Times New Roman"/>
                <w:sz w:val="24"/>
              </w:rPr>
              <w:t xml:space="preserve"> o </w:t>
            </w:r>
            <w:r w:rsidRPr="00E036ED">
              <w:rPr>
                <w:rFonts w:ascii="Times New Roman" w:hAnsi="Times New Roman"/>
                <w:sz w:val="24"/>
              </w:rPr>
              <w:t>konverzné faktory</w:t>
            </w:r>
            <w:r w:rsidR="00E036ED">
              <w:rPr>
                <w:rFonts w:ascii="Times New Roman" w:hAnsi="Times New Roman"/>
                <w:sz w:val="24"/>
              </w:rPr>
              <w:t xml:space="preserve"> a </w:t>
            </w:r>
            <w:r w:rsidRPr="00E036ED">
              <w:rPr>
                <w:rFonts w:ascii="Times New Roman" w:hAnsi="Times New Roman"/>
                <w:sz w:val="24"/>
              </w:rPr>
              <w:t>špecifické úpravy kreditného rizika.</w:t>
            </w:r>
          </w:p>
        </w:tc>
      </w:tr>
      <w:tr w:rsidR="002312DE" w:rsidRPr="00E036ED" w14:paraId="69E0A057" w14:textId="77777777" w:rsidTr="009F3999">
        <w:trPr>
          <w:trHeight w:val="1530"/>
        </w:trPr>
        <w:tc>
          <w:tcPr>
            <w:tcW w:w="1380" w:type="dxa"/>
            <w:vAlign w:val="center"/>
          </w:tcPr>
          <w:p w14:paraId="69E0A053"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20</w:t>
            </w:r>
          </w:p>
        </w:tc>
        <w:tc>
          <w:tcPr>
            <w:tcW w:w="7659" w:type="dxa"/>
          </w:tcPr>
          <w:p w14:paraId="69E0A054" w14:textId="22C2774C"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(Úpravy</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konverziu na ekvivalentnú výšku úveru)</w:t>
            </w:r>
          </w:p>
          <w:p w14:paraId="69E0A055" w14:textId="53EFE59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Článok 429f nariadenia (EÚ) </w:t>
            </w:r>
            <w:r w:rsidR="00E036ED">
              <w:rPr>
                <w:rFonts w:ascii="Times New Roman" w:hAnsi="Times New Roman"/>
                <w:sz w:val="24"/>
              </w:rPr>
              <w:t>č. </w:t>
            </w:r>
            <w:r w:rsidRPr="00E036ED">
              <w:rPr>
                <w:rFonts w:ascii="Times New Roman" w:hAnsi="Times New Roman"/>
                <w:sz w:val="24"/>
              </w:rPr>
              <w:t>575/2013.</w:t>
            </w:r>
          </w:p>
          <w:p w14:paraId="69E0A056" w14:textId="77F208A2"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Zníženie hrubej sumy podsúvahových expozícií</w:t>
            </w:r>
            <w:r w:rsidR="00E036ED">
              <w:rPr>
                <w:rFonts w:ascii="Times New Roman" w:hAnsi="Times New Roman"/>
                <w:sz w:val="24"/>
              </w:rPr>
              <w:t xml:space="preserve"> z </w:t>
            </w:r>
            <w:r w:rsidRPr="00E036ED">
              <w:rPr>
                <w:rFonts w:ascii="Times New Roman" w:hAnsi="Times New Roman"/>
                <w:sz w:val="24"/>
              </w:rPr>
              <w:t>dôvodu uplatnenia CCF. Keďže sa ňou znižuje veľkosť celkovej expozície, hodnota zverejnená</w:t>
            </w:r>
            <w:r w:rsidR="00E036ED">
              <w:rPr>
                <w:rFonts w:ascii="Times New Roman" w:hAnsi="Times New Roman"/>
                <w:sz w:val="24"/>
              </w:rPr>
              <w:t xml:space="preserve"> v </w:t>
            </w:r>
            <w:r w:rsidRPr="00E036ED">
              <w:rPr>
                <w:rFonts w:ascii="Times New Roman" w:hAnsi="Times New Roman"/>
                <w:sz w:val="24"/>
              </w:rPr>
              <w:t>tomto riadku prispieva záporne</w:t>
            </w:r>
            <w:r w:rsidR="00E036ED">
              <w:rPr>
                <w:rFonts w:ascii="Times New Roman" w:hAnsi="Times New Roman"/>
                <w:sz w:val="24"/>
              </w:rPr>
              <w:t xml:space="preserve"> k </w:t>
            </w:r>
            <w:r w:rsidRPr="00E036ED">
              <w:rPr>
                <w:rFonts w:ascii="Times New Roman" w:hAnsi="Times New Roman"/>
                <w:sz w:val="24"/>
              </w:rPr>
              <w:t>výpočtu súčtu, ktorý sa má zverejniť</w:t>
            </w:r>
            <w:r w:rsidR="00E036ED">
              <w:rPr>
                <w:rFonts w:ascii="Times New Roman" w:hAnsi="Times New Roman"/>
                <w:sz w:val="24"/>
              </w:rPr>
              <w:t xml:space="preserve"> v </w:t>
            </w:r>
            <w:r w:rsidRPr="00E036ED">
              <w:rPr>
                <w:rFonts w:ascii="Times New Roman" w:hAnsi="Times New Roman"/>
                <w:sz w:val="24"/>
              </w:rPr>
              <w:t>riadku 22 vzoru EU LR2 – LRCom.</w:t>
            </w:r>
          </w:p>
        </w:tc>
      </w:tr>
      <w:tr w:rsidR="002312DE" w:rsidRPr="00E036ED" w14:paraId="69E0A060" w14:textId="77777777" w:rsidTr="009F3999">
        <w:trPr>
          <w:trHeight w:val="2265"/>
        </w:trPr>
        <w:tc>
          <w:tcPr>
            <w:tcW w:w="1380" w:type="dxa"/>
            <w:vAlign w:val="center"/>
          </w:tcPr>
          <w:p w14:paraId="69E0A058"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21</w:t>
            </w:r>
          </w:p>
        </w:tc>
        <w:tc>
          <w:tcPr>
            <w:tcW w:w="7659" w:type="dxa"/>
          </w:tcPr>
          <w:p w14:paraId="69E0A059" w14:textId="21B98825"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(Všeobecné rezervy odpočítané pri stanovovaní kapitálu Tier 1</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osobitné rezervy súvisiace</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podsúvahovými expozíciami)</w:t>
            </w:r>
          </w:p>
          <w:p w14:paraId="69E0A05A" w14:textId="1CE5770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Článok 429f ods. 4</w:t>
            </w:r>
            <w:r w:rsidR="00E036ED">
              <w:rPr>
                <w:rFonts w:ascii="Times New Roman" w:hAnsi="Times New Roman"/>
                <w:sz w:val="24"/>
              </w:rPr>
              <w:t xml:space="preserve"> a </w:t>
            </w:r>
            <w:r w:rsidRPr="00E036ED">
              <w:rPr>
                <w:rFonts w:ascii="Times New Roman" w:hAnsi="Times New Roman"/>
                <w:sz w:val="24"/>
              </w:rPr>
              <w:t>článok 429f ods. 1</w:t>
            </w:r>
            <w:r w:rsidR="00E036ED">
              <w:rPr>
                <w:rFonts w:ascii="Times New Roman" w:hAnsi="Times New Roman"/>
                <w:sz w:val="24"/>
              </w:rPr>
              <w:t xml:space="preserve"> a </w:t>
            </w:r>
            <w:r w:rsidRPr="00E036ED">
              <w:rPr>
                <w:rFonts w:ascii="Times New Roman" w:hAnsi="Times New Roman"/>
                <w:sz w:val="24"/>
              </w:rPr>
              <w:t xml:space="preserve">2 nariadenia (EÚ) </w:t>
            </w:r>
            <w:r w:rsidR="00E036ED">
              <w:rPr>
                <w:rFonts w:ascii="Times New Roman" w:hAnsi="Times New Roman"/>
                <w:sz w:val="24"/>
              </w:rPr>
              <w:t>č. </w:t>
            </w:r>
            <w:r w:rsidRPr="00E036ED">
              <w:rPr>
                <w:rFonts w:ascii="Times New Roman" w:hAnsi="Times New Roman"/>
                <w:sz w:val="24"/>
              </w:rPr>
              <w:t>575/2013.</w:t>
            </w:r>
          </w:p>
          <w:p w14:paraId="0A5E0E89" w14:textId="301795E0"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Fonts w:ascii="Times New Roman" w:hAnsi="Times New Roman"/>
                <w:sz w:val="24"/>
              </w:rPr>
              <w:t>Inštitúcie môžu znížiť ekvivalentnú sumu expozície voči kreditnému riziku podsúvahovej položky</w:t>
            </w:r>
            <w:r w:rsidR="00E036ED">
              <w:rPr>
                <w:rFonts w:ascii="Times New Roman" w:hAnsi="Times New Roman"/>
                <w:sz w:val="24"/>
              </w:rPr>
              <w:t xml:space="preserve"> o </w:t>
            </w:r>
            <w:r w:rsidRPr="00E036ED">
              <w:rPr>
                <w:rFonts w:ascii="Times New Roman" w:hAnsi="Times New Roman"/>
                <w:sz w:val="24"/>
              </w:rPr>
              <w:t>zodpovedajúcu sumu všeobecných úprav kreditného rizika, ktoré sa odpočítavajú od kapitálu Tier 1. Na výpočet sa vzťahuje minimálna nulová hodnota</w:t>
            </w:r>
            <w:r w:rsidR="00E036ED">
              <w:rPr>
                <w:rFonts w:ascii="Times New Roman" w:hAnsi="Times New Roman"/>
                <w:sz w:val="24"/>
              </w:rPr>
              <w:t>.</w:t>
            </w:r>
          </w:p>
          <w:p w14:paraId="6C3922A0" w14:textId="3339A419"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Fonts w:ascii="Times New Roman" w:hAnsi="Times New Roman"/>
                <w:sz w:val="24"/>
              </w:rPr>
              <w:t>Inštitúcie môžu znížiť ekvivalentnú sumu expozície voči kreditnému riziku podsúvahovej položky</w:t>
            </w:r>
            <w:r w:rsidR="00E036ED">
              <w:rPr>
                <w:rFonts w:ascii="Times New Roman" w:hAnsi="Times New Roman"/>
                <w:sz w:val="24"/>
              </w:rPr>
              <w:t xml:space="preserve"> o </w:t>
            </w:r>
            <w:r w:rsidRPr="00E036ED">
              <w:rPr>
                <w:rFonts w:ascii="Times New Roman" w:hAnsi="Times New Roman"/>
                <w:sz w:val="24"/>
              </w:rPr>
              <w:t>zodpovedajúcu sumu špecifických úprav kreditného rizika. Na výpočet sa vzťahuje minimálna nulová hodnota</w:t>
            </w:r>
            <w:r w:rsidR="00E036ED">
              <w:rPr>
                <w:rFonts w:ascii="Times New Roman" w:hAnsi="Times New Roman"/>
                <w:sz w:val="24"/>
              </w:rPr>
              <w:t>.</w:t>
            </w:r>
          </w:p>
          <w:p w14:paraId="75445E2E" w14:textId="2632A201"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Fonts w:ascii="Times New Roman" w:hAnsi="Times New Roman"/>
                <w:sz w:val="24"/>
              </w:rPr>
              <w:t>Absolútna hodnota týchto úprav kreditného rizika nesmie presiahnuť súčet riadkov 19</w:t>
            </w:r>
            <w:r w:rsidR="00E036ED">
              <w:rPr>
                <w:rFonts w:ascii="Times New Roman" w:hAnsi="Times New Roman"/>
                <w:sz w:val="24"/>
              </w:rPr>
              <w:t xml:space="preserve"> a </w:t>
            </w:r>
            <w:r w:rsidRPr="00E036ED">
              <w:rPr>
                <w:rFonts w:ascii="Times New Roman" w:hAnsi="Times New Roman"/>
                <w:sz w:val="24"/>
              </w:rPr>
              <w:t>20</w:t>
            </w:r>
            <w:r w:rsidR="00E036ED">
              <w:rPr>
                <w:rFonts w:ascii="Times New Roman" w:hAnsi="Times New Roman"/>
                <w:sz w:val="24"/>
              </w:rPr>
              <w:t>.</w:t>
            </w:r>
          </w:p>
          <w:p w14:paraId="69E0A05E" w14:textId="612F6588"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sa týmito úpravami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p w14:paraId="69E0A05F" w14:textId="77777777"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E036ED">
              <w:rPr>
                <w:rStyle w:val="TeksttreciPogrubienie"/>
                <w:rFonts w:ascii="Times New Roman" w:hAnsi="Times New Roman"/>
                <w:color w:val="auto"/>
                <w:sz w:val="24"/>
              </w:rPr>
              <w:t>Zverejňovaná suma sa zahŕňa aj do uplatniteľných vyššie uvedených buniek, ako keby sa toto zníženie neuplatňovalo.</w:t>
            </w:r>
          </w:p>
        </w:tc>
      </w:tr>
      <w:tr w:rsidR="002312DE" w:rsidRPr="00E036ED" w14:paraId="69E0A066" w14:textId="77777777" w:rsidTr="009F3999">
        <w:trPr>
          <w:trHeight w:val="805"/>
        </w:trPr>
        <w:tc>
          <w:tcPr>
            <w:tcW w:w="1380" w:type="dxa"/>
            <w:vAlign w:val="center"/>
          </w:tcPr>
          <w:p w14:paraId="69E0A061"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22</w:t>
            </w:r>
          </w:p>
        </w:tc>
        <w:tc>
          <w:tcPr>
            <w:tcW w:w="7659" w:type="dxa"/>
          </w:tcPr>
          <w:p w14:paraId="6F992D20" w14:textId="77777777" w:rsidR="00E036ED" w:rsidRDefault="00646595" w:rsidP="00E9371F">
            <w:pPr>
              <w:pStyle w:val="Teksttreci0"/>
              <w:shd w:val="clear" w:color="auto" w:fill="auto"/>
              <w:spacing w:after="120" w:line="240" w:lineRule="auto"/>
              <w:ind w:firstLine="0"/>
              <w:rPr>
                <w:rStyle w:val="TeksttreciPogrubienie"/>
                <w:rFonts w:ascii="Times New Roman" w:hAnsi="Times New Roman"/>
                <w:color w:val="auto"/>
                <w:sz w:val="24"/>
              </w:rPr>
            </w:pPr>
            <w:r w:rsidRPr="00E036ED">
              <w:rPr>
                <w:rStyle w:val="TeksttreciPogrubienie"/>
                <w:rFonts w:ascii="Times New Roman" w:hAnsi="Times New Roman"/>
                <w:color w:val="auto"/>
                <w:sz w:val="24"/>
              </w:rPr>
              <w:t>Podsúvahové expozície</w:t>
            </w:r>
          </w:p>
          <w:p w14:paraId="69E0A063" w14:textId="0AA96219"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Článok 429f, článok 111 ods. 2</w:t>
            </w:r>
            <w:r w:rsidR="00E036ED">
              <w:rPr>
                <w:rFonts w:ascii="Times New Roman" w:hAnsi="Times New Roman"/>
                <w:sz w:val="24"/>
              </w:rPr>
              <w:t xml:space="preserve"> a </w:t>
            </w:r>
            <w:r w:rsidRPr="00E036ED">
              <w:rPr>
                <w:rFonts w:ascii="Times New Roman" w:hAnsi="Times New Roman"/>
                <w:sz w:val="24"/>
              </w:rPr>
              <w:t xml:space="preserve">článok 166 ods. 9 nariadenia (EÚ) </w:t>
            </w:r>
            <w:r w:rsidR="00E036ED">
              <w:rPr>
                <w:rFonts w:ascii="Times New Roman" w:hAnsi="Times New Roman"/>
                <w:sz w:val="24"/>
              </w:rPr>
              <w:t>č. </w:t>
            </w:r>
            <w:r w:rsidRPr="00E036ED">
              <w:rPr>
                <w:rFonts w:ascii="Times New Roman" w:hAnsi="Times New Roman"/>
                <w:sz w:val="24"/>
              </w:rPr>
              <w:t>575/2013. súčet riadkov 19 až 21.</w:t>
            </w:r>
          </w:p>
          <w:p w14:paraId="69E0A064" w14:textId="6E05FD19"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hodnoty expozície ukazovateľa finančnej páky pre podsúvahové položky stanovené</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429f nariadenia (EÚ) </w:t>
            </w:r>
            <w:r w:rsidR="00E036ED">
              <w:rPr>
                <w:rFonts w:ascii="Times New Roman" w:hAnsi="Times New Roman"/>
                <w:sz w:val="24"/>
              </w:rPr>
              <w:t>č. </w:t>
            </w:r>
            <w:r w:rsidRPr="00E036ED">
              <w:rPr>
                <w:rFonts w:ascii="Times New Roman" w:hAnsi="Times New Roman"/>
                <w:sz w:val="24"/>
              </w:rPr>
              <w:t>575/2013, pričom zohľadňujú relevantné konverzné faktory.</w:t>
            </w:r>
          </w:p>
          <w:p w14:paraId="69E0A065" w14:textId="58667834"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zohľadňujú to, že riadky 20 až 21 vzoru EU LR2 – LRCom prispievajú</w:t>
            </w:r>
            <w:r w:rsidR="00E036ED">
              <w:rPr>
                <w:rFonts w:ascii="Times New Roman" w:hAnsi="Times New Roman"/>
                <w:sz w:val="24"/>
              </w:rPr>
              <w:t xml:space="preserve"> k </w:t>
            </w:r>
            <w:r w:rsidRPr="00E036ED">
              <w:rPr>
                <w:rFonts w:ascii="Times New Roman" w:hAnsi="Times New Roman"/>
                <w:sz w:val="24"/>
              </w:rPr>
              <w:t>výpočtu tohto súčtu záporne.</w:t>
            </w:r>
          </w:p>
        </w:tc>
      </w:tr>
      <w:tr w:rsidR="002312DE" w:rsidRPr="00E036ED" w14:paraId="69E0A06D" w14:textId="77777777" w:rsidTr="009F3999">
        <w:trPr>
          <w:trHeight w:val="274"/>
        </w:trPr>
        <w:tc>
          <w:tcPr>
            <w:tcW w:w="1380" w:type="dxa"/>
            <w:vAlign w:val="center"/>
          </w:tcPr>
          <w:p w14:paraId="69E0A067"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EU-22a</w:t>
            </w:r>
          </w:p>
        </w:tc>
        <w:tc>
          <w:tcPr>
            <w:tcW w:w="7659" w:type="dxa"/>
          </w:tcPr>
          <w:p w14:paraId="69E0A068" w14:textId="7BED2251"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[Expozície vylúčené</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veľkosti celkovej expozície</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súlade</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 xml:space="preserve">článkom 429a ods. 1 písm. c) nariadenia (EÚ) </w:t>
            </w:r>
            <w:r w:rsidR="00E036ED">
              <w:rPr>
                <w:rStyle w:val="TeksttreciPogrubienie"/>
                <w:rFonts w:ascii="Times New Roman" w:hAnsi="Times New Roman"/>
                <w:color w:val="auto"/>
                <w:sz w:val="24"/>
              </w:rPr>
              <w:t>č. </w:t>
            </w:r>
            <w:r w:rsidRPr="00E036ED">
              <w:rPr>
                <w:rStyle w:val="TeksttreciPogrubienie"/>
                <w:rFonts w:ascii="Times New Roman" w:hAnsi="Times New Roman"/>
                <w:color w:val="auto"/>
                <w:sz w:val="24"/>
              </w:rPr>
              <w:t>575/2013]</w:t>
            </w:r>
          </w:p>
          <w:p w14:paraId="69E0A069" w14:textId="6CA29125"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Článok 429a ods. 1 písm. c)</w:t>
            </w:r>
            <w:r w:rsidR="00E036ED">
              <w:rPr>
                <w:rFonts w:ascii="Times New Roman" w:hAnsi="Times New Roman"/>
                <w:sz w:val="24"/>
              </w:rPr>
              <w:t xml:space="preserve"> a </w:t>
            </w:r>
            <w:r w:rsidRPr="00E036ED">
              <w:rPr>
                <w:rFonts w:ascii="Times New Roman" w:hAnsi="Times New Roman"/>
                <w:sz w:val="24"/>
              </w:rPr>
              <w:t>ca)</w:t>
            </w:r>
            <w:r w:rsidR="00E036ED">
              <w:rPr>
                <w:rFonts w:ascii="Times New Roman" w:hAnsi="Times New Roman"/>
                <w:sz w:val="24"/>
              </w:rPr>
              <w:t xml:space="preserve"> a </w:t>
            </w:r>
            <w:r w:rsidRPr="00E036ED">
              <w:rPr>
                <w:rFonts w:ascii="Times New Roman" w:hAnsi="Times New Roman"/>
                <w:sz w:val="24"/>
              </w:rPr>
              <w:t>článok 113 ods. 6</w:t>
            </w:r>
            <w:r w:rsidR="00E036ED">
              <w:rPr>
                <w:rFonts w:ascii="Times New Roman" w:hAnsi="Times New Roman"/>
                <w:sz w:val="24"/>
              </w:rPr>
              <w:t xml:space="preserve"> a </w:t>
            </w:r>
            <w:r w:rsidRPr="00E036ED">
              <w:rPr>
                <w:rFonts w:ascii="Times New Roman" w:hAnsi="Times New Roman"/>
                <w:sz w:val="24"/>
              </w:rPr>
              <w:t xml:space="preserve">7 nariadenia (EÚ) </w:t>
            </w:r>
            <w:r w:rsidR="00E036ED">
              <w:rPr>
                <w:rFonts w:ascii="Times New Roman" w:hAnsi="Times New Roman"/>
                <w:sz w:val="24"/>
              </w:rPr>
              <w:t>č. </w:t>
            </w:r>
            <w:r w:rsidRPr="00E036ED">
              <w:rPr>
                <w:rFonts w:ascii="Times New Roman" w:hAnsi="Times New Roman"/>
                <w:sz w:val="24"/>
              </w:rPr>
              <w:t>575/2013.</w:t>
            </w:r>
          </w:p>
          <w:p w14:paraId="6E11F821" w14:textId="5602E205"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Fonts w:ascii="Times New Roman" w:hAnsi="Times New Roman"/>
                <w:sz w:val="24"/>
              </w:rPr>
              <w:t>Inštitúcie zverejňujú expozície vyňaté</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w:t>
            </w:r>
            <w:r w:rsidRPr="00E036ED">
              <w:rPr>
                <w:rFonts w:ascii="Times New Roman" w:hAnsi="Times New Roman"/>
                <w:sz w:val="24"/>
              </w:rPr>
              <w:lastRenderedPageBreak/>
              <w:t>c)</w:t>
            </w:r>
            <w:r w:rsidR="00E036ED">
              <w:rPr>
                <w:rFonts w:ascii="Times New Roman" w:hAnsi="Times New Roman"/>
                <w:sz w:val="24"/>
              </w:rPr>
              <w:t xml:space="preserve"> a </w:t>
            </w:r>
            <w:r w:rsidRPr="00E036ED">
              <w:rPr>
                <w:rFonts w:ascii="Times New Roman" w:hAnsi="Times New Roman"/>
                <w:sz w:val="24"/>
              </w:rPr>
              <w:t>ca)</w:t>
            </w:r>
            <w:r w:rsidR="00E036ED">
              <w:rPr>
                <w:rFonts w:ascii="Times New Roman" w:hAnsi="Times New Roman"/>
                <w:sz w:val="24"/>
              </w:rPr>
              <w:t>.</w:t>
            </w:r>
          </w:p>
          <w:p w14:paraId="69E0A06B" w14:textId="2FC9DC3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Zverejňovaná suma sa zahŕňa aj do uplatniteľných vyššie uvedených buniek, ako keby sa neuplatňovalo žiadne vyňatie.</w:t>
            </w:r>
          </w:p>
          <w:p w14:paraId="69E0A06C" w14:textId="019440E8"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táto hodnota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74" w14:textId="77777777" w:rsidTr="009F3999">
        <w:trPr>
          <w:trHeight w:val="129"/>
        </w:trPr>
        <w:tc>
          <w:tcPr>
            <w:tcW w:w="1380" w:type="dxa"/>
            <w:vAlign w:val="center"/>
          </w:tcPr>
          <w:p w14:paraId="69E0A06E"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EU-22b</w:t>
            </w:r>
          </w:p>
        </w:tc>
        <w:tc>
          <w:tcPr>
            <w:tcW w:w="7659" w:type="dxa"/>
          </w:tcPr>
          <w:p w14:paraId="69E0A06F" w14:textId="7700676C"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[Expozície vyňaté</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súlade</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článkom</w:t>
            </w:r>
            <w:r w:rsidRPr="00E036ED">
              <w:rPr>
                <w:rFonts w:ascii="Times New Roman" w:hAnsi="Times New Roman"/>
                <w:b/>
                <w:sz w:val="24"/>
              </w:rPr>
              <w:t xml:space="preserve"> 429a ods. 1</w:t>
            </w:r>
            <w:r w:rsidRPr="00E036ED">
              <w:rPr>
                <w:rStyle w:val="TeksttreciPogrubienie"/>
                <w:rFonts w:ascii="Times New Roman" w:hAnsi="Times New Roman"/>
                <w:color w:val="auto"/>
                <w:sz w:val="24"/>
              </w:rPr>
              <w:t xml:space="preserve"> písm. j)</w:t>
            </w:r>
            <w:r w:rsidRPr="00E036ED">
              <w:rPr>
                <w:rFonts w:ascii="Times New Roman" w:hAnsi="Times New Roman"/>
                <w:b/>
                <w:sz w:val="24"/>
              </w:rPr>
              <w:t xml:space="preserve"> </w:t>
            </w:r>
            <w:r w:rsidRPr="00E036ED">
              <w:rPr>
                <w:rStyle w:val="TeksttreciPogrubienie"/>
                <w:rFonts w:ascii="Times New Roman" w:hAnsi="Times New Roman"/>
                <w:color w:val="auto"/>
                <w:sz w:val="24"/>
              </w:rPr>
              <w:t>CRR (súvahové aj podsúvahové)]</w:t>
            </w:r>
          </w:p>
          <w:p w14:paraId="69E0A070" w14:textId="30015174"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 xml:space="preserve">Článok 429a ods. 1 písm. j) nariadenia (EÚ) </w:t>
            </w:r>
            <w:r w:rsidR="00E036ED">
              <w:rPr>
                <w:rFonts w:ascii="Times New Roman" w:hAnsi="Times New Roman"/>
                <w:sz w:val="24"/>
              </w:rPr>
              <w:t>č. </w:t>
            </w:r>
            <w:r w:rsidRPr="00E036ED">
              <w:rPr>
                <w:rFonts w:ascii="Times New Roman" w:hAnsi="Times New Roman"/>
                <w:sz w:val="24"/>
              </w:rPr>
              <w:t>575/2013.</w:t>
            </w:r>
          </w:p>
          <w:p w14:paraId="113BFCDE" w14:textId="07CBB921" w:rsidR="00E036ED" w:rsidRDefault="00646595" w:rsidP="00E9371F">
            <w:pPr>
              <w:pStyle w:val="Teksttreci0"/>
              <w:shd w:val="clear" w:color="auto" w:fill="auto"/>
              <w:spacing w:after="120" w:line="240" w:lineRule="auto"/>
              <w:ind w:firstLine="0"/>
              <w:rPr>
                <w:rFonts w:ascii="Times New Roman" w:hAnsi="Times New Roman"/>
                <w:sz w:val="24"/>
              </w:rPr>
            </w:pPr>
            <w:r w:rsidRPr="00E036ED">
              <w:rPr>
                <w:rFonts w:ascii="Times New Roman" w:hAnsi="Times New Roman"/>
                <w:sz w:val="24"/>
              </w:rPr>
              <w:t>Inštitúcie zverejňujú expozície vyňaté</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j) nariadenia (EÚ) </w:t>
            </w:r>
            <w:r w:rsidR="00E036ED">
              <w:rPr>
                <w:rFonts w:ascii="Times New Roman" w:hAnsi="Times New Roman"/>
                <w:sz w:val="24"/>
              </w:rPr>
              <w:t>č. </w:t>
            </w:r>
            <w:r w:rsidRPr="00E036ED">
              <w:rPr>
                <w:rFonts w:ascii="Times New Roman" w:hAnsi="Times New Roman"/>
                <w:sz w:val="24"/>
              </w:rPr>
              <w:t>575/2013 za predpokladu, že sú splnené</w:t>
            </w:r>
            <w:r w:rsidR="00E036ED">
              <w:rPr>
                <w:rFonts w:ascii="Times New Roman" w:hAnsi="Times New Roman"/>
                <w:sz w:val="24"/>
              </w:rPr>
              <w:t xml:space="preserve"> v </w:t>
            </w:r>
            <w:r w:rsidRPr="00E036ED">
              <w:rPr>
                <w:rFonts w:ascii="Times New Roman" w:hAnsi="Times New Roman"/>
                <w:sz w:val="24"/>
              </w:rPr>
              <w:t>ňom uvedené podmienky</w:t>
            </w:r>
            <w:r w:rsidR="00E036ED">
              <w:rPr>
                <w:rFonts w:ascii="Times New Roman" w:hAnsi="Times New Roman"/>
                <w:sz w:val="24"/>
              </w:rPr>
              <w:t>.</w:t>
            </w:r>
          </w:p>
          <w:p w14:paraId="69E0A072" w14:textId="5ADDFCE6"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Zverejňovaná suma sa zahŕňa aj do uplatniteľných vyššie uvedených buniek, ako keby sa neuplatňovalo žiadne vyňatie.</w:t>
            </w:r>
          </w:p>
          <w:p w14:paraId="69E0A073" w14:textId="2E5D6FE8"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7A" w14:textId="77777777" w:rsidTr="009F3999">
        <w:trPr>
          <w:trHeight w:val="1535"/>
        </w:trPr>
        <w:tc>
          <w:tcPr>
            <w:tcW w:w="1380" w:type="dxa"/>
            <w:vAlign w:val="center"/>
          </w:tcPr>
          <w:p w14:paraId="69E0A075"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EU-22c</w:t>
            </w:r>
          </w:p>
        </w:tc>
        <w:tc>
          <w:tcPr>
            <w:tcW w:w="7659" w:type="dxa"/>
          </w:tcPr>
          <w:p w14:paraId="69E0A076" w14:textId="7777777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[Vylúčené expozície verejných rozvojových bánk (alebo jednotiek) – investície verejného sektora]</w:t>
            </w:r>
          </w:p>
          <w:p w14:paraId="69E0A077" w14:textId="1F2C9AC6"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Článok 429a ods. 1</w:t>
            </w:r>
            <w:r w:rsidR="00E036ED">
              <w:rPr>
                <w:rFonts w:ascii="Times New Roman" w:hAnsi="Times New Roman"/>
                <w:sz w:val="24"/>
              </w:rPr>
              <w:t xml:space="preserve"> a </w:t>
            </w:r>
            <w:r w:rsidRPr="00E036ED">
              <w:rPr>
                <w:rFonts w:ascii="Times New Roman" w:hAnsi="Times New Roman"/>
                <w:sz w:val="24"/>
              </w:rPr>
              <w:t xml:space="preserve">článok 429a ods. 2 písm. d) nariadenia (EÚ) </w:t>
            </w:r>
            <w:r w:rsidR="00E036ED">
              <w:rPr>
                <w:rFonts w:ascii="Times New Roman" w:hAnsi="Times New Roman"/>
                <w:sz w:val="24"/>
              </w:rPr>
              <w:t>č. </w:t>
            </w:r>
            <w:r w:rsidRPr="00E036ED">
              <w:rPr>
                <w:rFonts w:ascii="Times New Roman" w:hAnsi="Times New Roman"/>
                <w:sz w:val="24"/>
              </w:rPr>
              <w:t>575/2013.</w:t>
            </w:r>
          </w:p>
          <w:p w14:paraId="69E0A078" w14:textId="5B5F7E5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Expozície vyplývajúce</w:t>
            </w:r>
            <w:r w:rsidR="00E036ED">
              <w:rPr>
                <w:rFonts w:ascii="Times New Roman" w:hAnsi="Times New Roman"/>
                <w:sz w:val="24"/>
              </w:rPr>
              <w:t xml:space="preserve"> z </w:t>
            </w:r>
            <w:r w:rsidRPr="00E036ED">
              <w:rPr>
                <w:rFonts w:ascii="Times New Roman" w:hAnsi="Times New Roman"/>
                <w:sz w:val="24"/>
              </w:rPr>
              <w:t>aktív, ktoré predstavujú pohľadávky voči ústredným vládam, regionálnym vládam, miestnym orgánom alebo subjektom verejného sektora vo vzťahu</w:t>
            </w:r>
            <w:r w:rsidR="00E036ED">
              <w:rPr>
                <w:rFonts w:ascii="Times New Roman" w:hAnsi="Times New Roman"/>
                <w:sz w:val="24"/>
              </w:rPr>
              <w:t xml:space="preserve"> k </w:t>
            </w:r>
            <w:r w:rsidRPr="00E036ED">
              <w:rPr>
                <w:rFonts w:ascii="Times New Roman" w:hAnsi="Times New Roman"/>
                <w:sz w:val="24"/>
              </w:rPr>
              <w:t>investíciám verejného sektora, ktoré možno vylúčiť</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d) nariadenia (EÚ) </w:t>
            </w:r>
            <w:r w:rsidR="00E036ED">
              <w:rPr>
                <w:rFonts w:ascii="Times New Roman" w:hAnsi="Times New Roman"/>
                <w:sz w:val="24"/>
              </w:rPr>
              <w:t>č. </w:t>
            </w:r>
            <w:r w:rsidRPr="00E036ED">
              <w:rPr>
                <w:rFonts w:ascii="Times New Roman" w:hAnsi="Times New Roman"/>
                <w:sz w:val="24"/>
              </w:rPr>
              <w:t>575/2013. To zahŕňa len prípady, keď je inštitúcia verejnou rozvojovou úverovou inštitúciou alebo keď sú expozície držané</w:t>
            </w:r>
            <w:r w:rsidR="00E036ED">
              <w:rPr>
                <w:rFonts w:ascii="Times New Roman" w:hAnsi="Times New Roman"/>
                <w:sz w:val="24"/>
              </w:rPr>
              <w:t xml:space="preserve"> v </w:t>
            </w:r>
            <w:r w:rsidRPr="00E036ED">
              <w:rPr>
                <w:rFonts w:ascii="Times New Roman" w:hAnsi="Times New Roman"/>
                <w:sz w:val="24"/>
              </w:rPr>
              <w:t>rámci jednotky, ktorá sa považuje za verejnú rozvojovú jednotku</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2 posledným pododsekom nariadenia (EÚ) </w:t>
            </w:r>
            <w:r w:rsidR="00E036ED">
              <w:rPr>
                <w:rFonts w:ascii="Times New Roman" w:hAnsi="Times New Roman"/>
                <w:sz w:val="24"/>
              </w:rPr>
              <w:t>č. </w:t>
            </w:r>
            <w:r w:rsidRPr="00E036ED">
              <w:rPr>
                <w:rFonts w:ascii="Times New Roman" w:hAnsi="Times New Roman"/>
                <w:sz w:val="24"/>
              </w:rPr>
              <w:t>575/2013.</w:t>
            </w:r>
          </w:p>
          <w:p w14:paraId="69E0A079" w14:textId="1C177C08"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tejto bunke</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80" w14:textId="77777777" w:rsidTr="009F3999">
        <w:trPr>
          <w:trHeight w:val="1535"/>
        </w:trPr>
        <w:tc>
          <w:tcPr>
            <w:tcW w:w="1380" w:type="dxa"/>
            <w:vAlign w:val="center"/>
          </w:tcPr>
          <w:p w14:paraId="69E0A07B"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EU-22d</w:t>
            </w:r>
          </w:p>
        </w:tc>
        <w:tc>
          <w:tcPr>
            <w:tcW w:w="7659" w:type="dxa"/>
          </w:tcPr>
          <w:p w14:paraId="5AA4E8F8" w14:textId="77777777" w:rsidR="00E036ED" w:rsidRDefault="00646595" w:rsidP="00E9371F">
            <w:pPr>
              <w:pStyle w:val="Teksttreci0"/>
              <w:shd w:val="clear" w:color="auto" w:fill="auto"/>
              <w:spacing w:after="120" w:line="240" w:lineRule="auto"/>
              <w:ind w:firstLine="0"/>
              <w:jc w:val="left"/>
              <w:rPr>
                <w:rFonts w:ascii="Times New Roman" w:hAnsi="Times New Roman"/>
                <w:b/>
                <w:sz w:val="24"/>
              </w:rPr>
            </w:pPr>
            <w:r w:rsidRPr="00E036ED">
              <w:rPr>
                <w:rFonts w:ascii="Times New Roman" w:hAnsi="Times New Roman"/>
                <w:b/>
                <w:sz w:val="24"/>
              </w:rPr>
              <w:t>[Vylúčené expozície verejných rozvojových bánk (alebo jednotiek) – podporné úvery]</w:t>
            </w:r>
          </w:p>
          <w:p w14:paraId="69E0A07D" w14:textId="3C71151F"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Článok 429a ods. 1 písm. d)</w:t>
            </w:r>
            <w:r w:rsidR="00E036ED">
              <w:rPr>
                <w:rFonts w:ascii="Times New Roman" w:hAnsi="Times New Roman"/>
                <w:sz w:val="24"/>
              </w:rPr>
              <w:t xml:space="preserve"> a </w:t>
            </w:r>
            <w:r w:rsidRPr="00E036ED">
              <w:rPr>
                <w:rFonts w:ascii="Times New Roman" w:hAnsi="Times New Roman"/>
                <w:sz w:val="24"/>
              </w:rPr>
              <w:t xml:space="preserve">článok 429a ods. 2 nariadenia (EÚ) </w:t>
            </w:r>
            <w:r w:rsidR="00E036ED">
              <w:rPr>
                <w:rFonts w:ascii="Times New Roman" w:hAnsi="Times New Roman"/>
                <w:sz w:val="24"/>
              </w:rPr>
              <w:t>č. </w:t>
            </w:r>
            <w:r w:rsidRPr="00E036ED">
              <w:rPr>
                <w:rFonts w:ascii="Times New Roman" w:hAnsi="Times New Roman"/>
                <w:sz w:val="24"/>
              </w:rPr>
              <w:t>575/2013.</w:t>
            </w:r>
          </w:p>
          <w:p w14:paraId="69E0A07E" w14:textId="575CF1C9"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vylúčené podporné úvery</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d) nariadenia (EÚ) </w:t>
            </w:r>
            <w:r w:rsidR="00E036ED">
              <w:rPr>
                <w:rFonts w:ascii="Times New Roman" w:hAnsi="Times New Roman"/>
                <w:sz w:val="24"/>
              </w:rPr>
              <w:t>č. </w:t>
            </w:r>
            <w:r w:rsidRPr="00E036ED">
              <w:rPr>
                <w:rFonts w:ascii="Times New Roman" w:hAnsi="Times New Roman"/>
                <w:sz w:val="24"/>
              </w:rPr>
              <w:t>575/2013. To zahŕňa len prípady, keď je inštitúcia verejnou rozvojovou úverovou inštitúciou alebo keď sú podporné úvery držané</w:t>
            </w:r>
            <w:r w:rsidR="00E036ED">
              <w:rPr>
                <w:rFonts w:ascii="Times New Roman" w:hAnsi="Times New Roman"/>
                <w:sz w:val="24"/>
              </w:rPr>
              <w:t xml:space="preserve"> v </w:t>
            </w:r>
            <w:r w:rsidRPr="00E036ED">
              <w:rPr>
                <w:rFonts w:ascii="Times New Roman" w:hAnsi="Times New Roman"/>
                <w:sz w:val="24"/>
              </w:rPr>
              <w:t>rámci jednotky, ktorá sa považuje za verejnú rozvojovú jednotku</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2 posledným pododsekom nariadenia (EÚ) </w:t>
            </w:r>
            <w:r w:rsidR="00E036ED">
              <w:rPr>
                <w:rFonts w:ascii="Times New Roman" w:hAnsi="Times New Roman"/>
                <w:sz w:val="24"/>
              </w:rPr>
              <w:t>č. </w:t>
            </w:r>
            <w:r w:rsidRPr="00E036ED">
              <w:rPr>
                <w:rFonts w:ascii="Times New Roman" w:hAnsi="Times New Roman"/>
                <w:sz w:val="24"/>
              </w:rPr>
              <w:t>575/2013.</w:t>
            </w:r>
          </w:p>
          <w:p w14:paraId="69E0A07F" w14:textId="0851EA8B"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86" w14:textId="77777777" w:rsidTr="009F3999">
        <w:trPr>
          <w:trHeight w:val="1535"/>
        </w:trPr>
        <w:tc>
          <w:tcPr>
            <w:tcW w:w="1380" w:type="dxa"/>
            <w:vAlign w:val="center"/>
          </w:tcPr>
          <w:p w14:paraId="69E0A081"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EU-22e</w:t>
            </w:r>
          </w:p>
        </w:tc>
        <w:tc>
          <w:tcPr>
            <w:tcW w:w="7659" w:type="dxa"/>
          </w:tcPr>
          <w:p w14:paraId="69E0A082" w14:textId="0E1A27E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[Vylúčené expozície vyplývajúce</w:t>
            </w:r>
            <w:r w:rsidR="00E036ED">
              <w:rPr>
                <w:rFonts w:ascii="Times New Roman" w:hAnsi="Times New Roman"/>
                <w:b/>
                <w:sz w:val="24"/>
              </w:rPr>
              <w:t xml:space="preserve"> z </w:t>
            </w:r>
            <w:r w:rsidRPr="00E036ED">
              <w:rPr>
                <w:rFonts w:ascii="Times New Roman" w:hAnsi="Times New Roman"/>
                <w:b/>
                <w:sz w:val="24"/>
              </w:rPr>
              <w:t>postupovania podporných úverov neverejnými rozvojovými bankami (alebo jednotkami)]</w:t>
            </w:r>
          </w:p>
          <w:p w14:paraId="69E0A083" w14:textId="5FDC1674" w:rsidR="00646595" w:rsidRPr="00E036ED" w:rsidRDefault="00646595" w:rsidP="00E9371F">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 xml:space="preserve">Článok 429a ods. 1 písm. e)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84" w14:textId="6219CEAE" w:rsidR="00646595" w:rsidRPr="00E036ED" w:rsidRDefault="00646595" w:rsidP="00E9371F">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Inštitúcie zverejňujú vylúčené expozície</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429a ods. 1 písm. e) nariadenia (EÚ) </w:t>
            </w:r>
            <w:r w:rsidR="00E036ED">
              <w:rPr>
                <w:rFonts w:ascii="Times New Roman" w:hAnsi="Times New Roman"/>
                <w:color w:val="auto"/>
                <w:sz w:val="24"/>
              </w:rPr>
              <w:t>č. </w:t>
            </w:r>
            <w:r w:rsidRPr="00E036ED">
              <w:rPr>
                <w:rFonts w:ascii="Times New Roman" w:hAnsi="Times New Roman"/>
                <w:color w:val="auto"/>
                <w:sz w:val="24"/>
              </w:rPr>
              <w:t>575/2013 týkajúce sa tých častí expozícií, ktoré vyplývajú</w:t>
            </w:r>
            <w:r w:rsidR="00E036ED">
              <w:rPr>
                <w:rFonts w:ascii="Times New Roman" w:hAnsi="Times New Roman"/>
                <w:color w:val="auto"/>
                <w:sz w:val="24"/>
              </w:rPr>
              <w:t xml:space="preserve"> z </w:t>
            </w:r>
            <w:r w:rsidRPr="00E036ED">
              <w:rPr>
                <w:rFonts w:ascii="Times New Roman" w:hAnsi="Times New Roman"/>
                <w:color w:val="auto"/>
                <w:sz w:val="24"/>
              </w:rPr>
              <w:t>postupovania podporných úverov iným úverovým inštitúciám. To zahŕňa len prípady, keď inštitúcia nie je verejnou rozvojovou úverovou inštitúciou</w:t>
            </w:r>
            <w:r w:rsidR="00E036ED">
              <w:rPr>
                <w:rFonts w:ascii="Times New Roman" w:hAnsi="Times New Roman"/>
                <w:color w:val="auto"/>
                <w:sz w:val="24"/>
              </w:rPr>
              <w:t xml:space="preserve"> a </w:t>
            </w:r>
            <w:r w:rsidRPr="00E036ED">
              <w:rPr>
                <w:rFonts w:ascii="Times New Roman" w:hAnsi="Times New Roman"/>
                <w:color w:val="auto"/>
                <w:sz w:val="24"/>
              </w:rPr>
              <w:t>keď daná činnosť nie je so žiadnou jednotkou, ktorá sa považuje za verejnú rozvojovú jednotku</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429a ods. 2 posledným pododsekom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85" w14:textId="7116938E"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8C" w14:textId="77777777" w:rsidTr="009F3999">
        <w:trPr>
          <w:trHeight w:val="1535"/>
        </w:trPr>
        <w:tc>
          <w:tcPr>
            <w:tcW w:w="1380" w:type="dxa"/>
            <w:vAlign w:val="center"/>
          </w:tcPr>
          <w:p w14:paraId="69E0A087"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EU-22f</w:t>
            </w:r>
          </w:p>
        </w:tc>
        <w:tc>
          <w:tcPr>
            <w:tcW w:w="7659" w:type="dxa"/>
          </w:tcPr>
          <w:p w14:paraId="69E0A088" w14:textId="22185A92"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(Vylúčené zaručené časti expozícií vyplývajúce</w:t>
            </w:r>
            <w:r w:rsidR="00E036ED">
              <w:rPr>
                <w:rFonts w:ascii="Times New Roman" w:hAnsi="Times New Roman"/>
                <w:b/>
                <w:sz w:val="24"/>
              </w:rPr>
              <w:t xml:space="preserve"> z </w:t>
            </w:r>
            <w:r w:rsidRPr="00E036ED">
              <w:rPr>
                <w:rFonts w:ascii="Times New Roman" w:hAnsi="Times New Roman"/>
                <w:b/>
                <w:sz w:val="24"/>
              </w:rPr>
              <w:t>exportných úverov)</w:t>
            </w:r>
          </w:p>
          <w:p w14:paraId="69E0A089" w14:textId="0903A9FF" w:rsidR="00646595" w:rsidRPr="00E036ED" w:rsidRDefault="00646595" w:rsidP="00E9371F">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 xml:space="preserve">Článok 429a ods. 1 písm. f)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8A" w14:textId="69ABE04F" w:rsidR="00646595" w:rsidRPr="00E036ED" w:rsidRDefault="00646595" w:rsidP="00E9371F">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Zaručené časti expozícií vyplývajúce</w:t>
            </w:r>
            <w:r w:rsidR="00E036ED">
              <w:rPr>
                <w:rFonts w:ascii="Times New Roman" w:hAnsi="Times New Roman"/>
                <w:color w:val="auto"/>
                <w:sz w:val="24"/>
              </w:rPr>
              <w:t xml:space="preserve"> z </w:t>
            </w:r>
            <w:r w:rsidRPr="00E036ED">
              <w:rPr>
                <w:rFonts w:ascii="Times New Roman" w:hAnsi="Times New Roman"/>
                <w:color w:val="auto"/>
                <w:sz w:val="24"/>
              </w:rPr>
              <w:t xml:space="preserve">exportných úverov, ktoré možno vylúčiť, keď sú splnené podmienky článku 429a ods. 1 písm. f)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8B" w14:textId="2940DFA1"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92" w14:textId="77777777" w:rsidTr="009F3999">
        <w:trPr>
          <w:trHeight w:val="1535"/>
        </w:trPr>
        <w:tc>
          <w:tcPr>
            <w:tcW w:w="1380" w:type="dxa"/>
            <w:vAlign w:val="center"/>
          </w:tcPr>
          <w:p w14:paraId="69E0A08D"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EU-22g</w:t>
            </w:r>
          </w:p>
        </w:tc>
        <w:tc>
          <w:tcPr>
            <w:tcW w:w="7659" w:type="dxa"/>
          </w:tcPr>
          <w:p w14:paraId="6DC06846" w14:textId="77777777" w:rsidR="00E036ED" w:rsidRDefault="00646595" w:rsidP="00E9371F">
            <w:pPr>
              <w:pStyle w:val="Teksttreci0"/>
              <w:shd w:val="clear" w:color="auto" w:fill="auto"/>
              <w:spacing w:after="120" w:line="240" w:lineRule="auto"/>
              <w:ind w:firstLine="0"/>
              <w:jc w:val="left"/>
              <w:rPr>
                <w:rFonts w:ascii="Times New Roman" w:hAnsi="Times New Roman"/>
                <w:b/>
                <w:sz w:val="24"/>
              </w:rPr>
            </w:pPr>
            <w:r w:rsidRPr="00E036ED">
              <w:rPr>
                <w:rFonts w:ascii="Times New Roman" w:hAnsi="Times New Roman"/>
                <w:b/>
                <w:sz w:val="24"/>
              </w:rPr>
              <w:t>(Vylúčený nadmerný kolaterál zložený</w:t>
            </w:r>
            <w:r w:rsidR="00E036ED">
              <w:rPr>
                <w:rFonts w:ascii="Times New Roman" w:hAnsi="Times New Roman"/>
                <w:b/>
                <w:sz w:val="24"/>
              </w:rPr>
              <w:t xml:space="preserve"> u </w:t>
            </w:r>
            <w:r w:rsidRPr="00E036ED">
              <w:rPr>
                <w:rFonts w:ascii="Times New Roman" w:hAnsi="Times New Roman"/>
                <w:b/>
                <w:sz w:val="24"/>
              </w:rPr>
              <w:t>tripartitných agentov)</w:t>
            </w:r>
          </w:p>
          <w:p w14:paraId="69E0A08F" w14:textId="1CD3AA0B" w:rsidR="00646595" w:rsidRPr="00E036ED" w:rsidRDefault="00646595" w:rsidP="00E9371F">
            <w:pPr>
              <w:pStyle w:val="BodyText1"/>
              <w:spacing w:after="120" w:line="240" w:lineRule="auto"/>
              <w:rPr>
                <w:rFonts w:ascii="Times New Roman" w:hAnsi="Times New Roman"/>
                <w:bCs/>
                <w:color w:val="auto"/>
                <w:sz w:val="24"/>
                <w:szCs w:val="24"/>
              </w:rPr>
            </w:pPr>
            <w:r w:rsidRPr="00E036ED">
              <w:rPr>
                <w:rFonts w:ascii="Times New Roman" w:hAnsi="Times New Roman"/>
                <w:color w:val="auto"/>
                <w:sz w:val="24"/>
              </w:rPr>
              <w:t xml:space="preserve">Článok 429a ods. 1 písm. k)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90" w14:textId="50CFF081" w:rsidR="00646595" w:rsidRPr="00E036ED" w:rsidRDefault="00646595" w:rsidP="5E9D3914">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Nadmerný kolaterál zložený</w:t>
            </w:r>
            <w:r w:rsidR="00E036ED">
              <w:rPr>
                <w:rFonts w:ascii="Times New Roman" w:hAnsi="Times New Roman"/>
                <w:color w:val="auto"/>
                <w:sz w:val="24"/>
              </w:rPr>
              <w:t xml:space="preserve"> u </w:t>
            </w:r>
            <w:r w:rsidRPr="00E036ED">
              <w:rPr>
                <w:rFonts w:ascii="Times New Roman" w:hAnsi="Times New Roman"/>
                <w:color w:val="auto"/>
                <w:sz w:val="24"/>
              </w:rPr>
              <w:t>tripartitných agentov, ktorý nebol požičaný, ktorý možno vylúčiť</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429a ods. 1 písm. k)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91" w14:textId="15E64069"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98" w14:textId="77777777" w:rsidTr="009F3999">
        <w:trPr>
          <w:trHeight w:val="1535"/>
        </w:trPr>
        <w:tc>
          <w:tcPr>
            <w:tcW w:w="1380" w:type="dxa"/>
            <w:vAlign w:val="center"/>
          </w:tcPr>
          <w:p w14:paraId="69E0A093"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EU-22h</w:t>
            </w:r>
          </w:p>
        </w:tc>
        <w:tc>
          <w:tcPr>
            <w:tcW w:w="7659" w:type="dxa"/>
          </w:tcPr>
          <w:p w14:paraId="69E0A094" w14:textId="1CDE4E38"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[Vylúčené služby súvisiace</w:t>
            </w:r>
            <w:r w:rsidR="00E036ED">
              <w:rPr>
                <w:rFonts w:ascii="Times New Roman" w:hAnsi="Times New Roman"/>
                <w:b/>
                <w:sz w:val="24"/>
              </w:rPr>
              <w:t xml:space="preserve"> s </w:t>
            </w:r>
            <w:r w:rsidRPr="00E036ED">
              <w:rPr>
                <w:rFonts w:ascii="Times New Roman" w:hAnsi="Times New Roman"/>
                <w:b/>
                <w:sz w:val="24"/>
              </w:rPr>
              <w:t>centrálnym depozitárom cenných papierov CDCP/inštitúcií</w:t>
            </w:r>
            <w:r w:rsidR="00E036ED">
              <w:rPr>
                <w:rFonts w:ascii="Times New Roman" w:hAnsi="Times New Roman"/>
                <w:b/>
                <w:sz w:val="24"/>
              </w:rPr>
              <w:t xml:space="preserve"> v </w:t>
            </w:r>
            <w:r w:rsidRPr="00E036ED">
              <w:rPr>
                <w:rFonts w:ascii="Times New Roman" w:hAnsi="Times New Roman"/>
                <w:b/>
                <w:sz w:val="24"/>
              </w:rPr>
              <w:t>súlade</w:t>
            </w:r>
            <w:r w:rsidR="00E036ED">
              <w:rPr>
                <w:rFonts w:ascii="Times New Roman" w:hAnsi="Times New Roman"/>
                <w:b/>
                <w:sz w:val="24"/>
              </w:rPr>
              <w:t xml:space="preserve"> s </w:t>
            </w:r>
            <w:r w:rsidRPr="00E036ED">
              <w:rPr>
                <w:rFonts w:ascii="Times New Roman" w:hAnsi="Times New Roman"/>
                <w:b/>
                <w:sz w:val="24"/>
              </w:rPr>
              <w:t>článkom 429a ods. 1 písm. o) CRR]</w:t>
            </w:r>
          </w:p>
          <w:p w14:paraId="69E0A095" w14:textId="4789C9BF" w:rsidR="00646595" w:rsidRPr="00E036ED" w:rsidRDefault="00646595" w:rsidP="17C07D06">
            <w:pPr>
              <w:pStyle w:val="BodyText1"/>
              <w:spacing w:after="120" w:line="240" w:lineRule="auto"/>
              <w:rPr>
                <w:rFonts w:ascii="Times New Roman" w:hAnsi="Times New Roman"/>
                <w:color w:val="auto"/>
              </w:rPr>
            </w:pPr>
            <w:r w:rsidRPr="00E036ED">
              <w:rPr>
                <w:rFonts w:ascii="Times New Roman" w:hAnsi="Times New Roman"/>
                <w:color w:val="auto"/>
                <w:sz w:val="24"/>
              </w:rPr>
              <w:t xml:space="preserve">Článok 429a ods. 1 písm. o)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96" w14:textId="7E98F2C1" w:rsidR="00646595" w:rsidRPr="00E036ED" w:rsidRDefault="00646595" w:rsidP="007717F5">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Služby súvisiace</w:t>
            </w:r>
            <w:r w:rsidR="00E036ED">
              <w:rPr>
                <w:rFonts w:ascii="Times New Roman" w:hAnsi="Times New Roman"/>
                <w:sz w:val="24"/>
              </w:rPr>
              <w:t xml:space="preserve"> s </w:t>
            </w:r>
            <w:r w:rsidRPr="00E036ED">
              <w:rPr>
                <w:rFonts w:ascii="Times New Roman" w:hAnsi="Times New Roman"/>
                <w:sz w:val="24"/>
              </w:rPr>
              <w:t>centrálnym depozitárom cenných papierov CDCP/inštitúcií, ktoré možno vylúčiť</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o) nariadenia (EÚ) </w:t>
            </w:r>
            <w:r w:rsidR="00E036ED">
              <w:rPr>
                <w:rFonts w:ascii="Times New Roman" w:hAnsi="Times New Roman"/>
                <w:sz w:val="24"/>
              </w:rPr>
              <w:t>č. </w:t>
            </w:r>
            <w:r w:rsidRPr="00E036ED">
              <w:rPr>
                <w:rFonts w:ascii="Times New Roman" w:hAnsi="Times New Roman"/>
                <w:sz w:val="24"/>
              </w:rPr>
              <w:t>575/2013.</w:t>
            </w:r>
          </w:p>
          <w:p w14:paraId="69E0A097" w14:textId="15DC0360" w:rsidR="00646595" w:rsidRPr="00E036ED" w:rsidRDefault="00646595" w:rsidP="00E9371F">
            <w:pPr>
              <w:pStyle w:val="BodyText1"/>
              <w:spacing w:after="120" w:line="240" w:lineRule="auto"/>
              <w:rPr>
                <w:rFonts w:ascii="Times New Roman" w:eastAsia="Book Antiqua" w:hAnsi="Times New Roman"/>
                <w:color w:val="auto"/>
                <w:sz w:val="24"/>
                <w:szCs w:val="24"/>
              </w:rPr>
            </w:pPr>
            <w:r w:rsidRPr="00E036ED">
              <w:rPr>
                <w:rFonts w:ascii="Times New Roman" w:hAnsi="Times New Roman"/>
                <w:color w:val="auto"/>
                <w:sz w:val="24"/>
              </w:rPr>
              <w:t>Keďže sa hodnotou znižuje veľkosť celkovej expozície, inštitúcie uvádzajú hodnotu zverejnenú</w:t>
            </w:r>
            <w:r w:rsidR="00E036ED">
              <w:rPr>
                <w:rFonts w:ascii="Times New Roman" w:hAnsi="Times New Roman"/>
                <w:color w:val="auto"/>
                <w:sz w:val="24"/>
              </w:rPr>
              <w:t xml:space="preserve"> v </w:t>
            </w:r>
            <w:r w:rsidRPr="00E036ED">
              <w:rPr>
                <w:rFonts w:ascii="Times New Roman" w:hAnsi="Times New Roman"/>
                <w:color w:val="auto"/>
                <w:sz w:val="24"/>
              </w:rPr>
              <w:t>tomto riadku</w:t>
            </w:r>
            <w:r w:rsidR="00E036ED">
              <w:rPr>
                <w:rFonts w:ascii="Times New Roman" w:hAnsi="Times New Roman"/>
                <w:color w:val="auto"/>
                <w:sz w:val="24"/>
              </w:rPr>
              <w:t xml:space="preserve"> v </w:t>
            </w:r>
            <w:r w:rsidRPr="00E036ED">
              <w:rPr>
                <w:rFonts w:ascii="Times New Roman" w:hAnsi="Times New Roman"/>
                <w:color w:val="auto"/>
                <w:sz w:val="24"/>
              </w:rPr>
              <w:t>zátvorkách (záporná hodnota).</w:t>
            </w:r>
          </w:p>
        </w:tc>
      </w:tr>
      <w:tr w:rsidR="002312DE" w:rsidRPr="00E036ED" w14:paraId="69E0A09E" w14:textId="77777777" w:rsidTr="00E036ED">
        <w:trPr>
          <w:trHeight w:val="416"/>
        </w:trPr>
        <w:tc>
          <w:tcPr>
            <w:tcW w:w="1380" w:type="dxa"/>
            <w:vAlign w:val="center"/>
          </w:tcPr>
          <w:p w14:paraId="69E0A099"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EU-22i</w:t>
            </w:r>
          </w:p>
        </w:tc>
        <w:tc>
          <w:tcPr>
            <w:tcW w:w="7659" w:type="dxa"/>
          </w:tcPr>
          <w:p w14:paraId="69E0A09A" w14:textId="526376BD" w:rsidR="00646595" w:rsidRPr="00E036ED"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E036ED">
              <w:rPr>
                <w:rFonts w:ascii="Times New Roman" w:hAnsi="Times New Roman"/>
                <w:b/>
                <w:sz w:val="24"/>
              </w:rPr>
              <w:t>[Vylúčené služby súvisiace</w:t>
            </w:r>
            <w:r w:rsidR="00E036ED">
              <w:rPr>
                <w:rFonts w:ascii="Times New Roman" w:hAnsi="Times New Roman"/>
                <w:b/>
                <w:sz w:val="24"/>
              </w:rPr>
              <w:t xml:space="preserve"> s </w:t>
            </w:r>
            <w:r w:rsidRPr="00E036ED">
              <w:rPr>
                <w:rFonts w:ascii="Times New Roman" w:hAnsi="Times New Roman"/>
                <w:b/>
                <w:sz w:val="24"/>
              </w:rPr>
              <w:t>centrálnym depozitárom cenných papierov určených inštitúcií</w:t>
            </w:r>
            <w:r w:rsidR="00E036ED">
              <w:rPr>
                <w:rFonts w:ascii="Times New Roman" w:hAnsi="Times New Roman"/>
                <w:b/>
                <w:sz w:val="24"/>
              </w:rPr>
              <w:t xml:space="preserve"> v </w:t>
            </w:r>
            <w:r w:rsidRPr="00E036ED">
              <w:rPr>
                <w:rFonts w:ascii="Times New Roman" w:hAnsi="Times New Roman"/>
                <w:b/>
                <w:sz w:val="24"/>
              </w:rPr>
              <w:t>súlade</w:t>
            </w:r>
            <w:r w:rsidR="00E036ED">
              <w:rPr>
                <w:rFonts w:ascii="Times New Roman" w:hAnsi="Times New Roman"/>
                <w:b/>
                <w:sz w:val="24"/>
              </w:rPr>
              <w:t xml:space="preserve"> s </w:t>
            </w:r>
            <w:r w:rsidRPr="00E036ED">
              <w:rPr>
                <w:rFonts w:ascii="Times New Roman" w:hAnsi="Times New Roman"/>
                <w:b/>
                <w:sz w:val="24"/>
              </w:rPr>
              <w:t>článkom 429a ods. 1 písm. p) CRR]</w:t>
            </w:r>
          </w:p>
          <w:p w14:paraId="69E0A09B" w14:textId="0F894548" w:rsidR="00646595" w:rsidRPr="00E036ED" w:rsidRDefault="00646595" w:rsidP="00E9371F">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 xml:space="preserve">Článok 429a ods. 1 písm. p)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9C" w14:textId="762740AF"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Služby súvisiace</w:t>
            </w:r>
            <w:r w:rsidR="00E036ED">
              <w:rPr>
                <w:rFonts w:ascii="Times New Roman" w:hAnsi="Times New Roman"/>
                <w:sz w:val="24"/>
              </w:rPr>
              <w:t xml:space="preserve"> s </w:t>
            </w:r>
            <w:r w:rsidRPr="00E036ED">
              <w:rPr>
                <w:rFonts w:ascii="Times New Roman" w:hAnsi="Times New Roman"/>
                <w:sz w:val="24"/>
              </w:rPr>
              <w:t>centrálnym depozitárom cenných papierov určených inštitúcií, ktoré možno vylúčiť</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p) nariadenia (EÚ) </w:t>
            </w:r>
            <w:r w:rsidR="00E036ED">
              <w:rPr>
                <w:rFonts w:ascii="Times New Roman" w:hAnsi="Times New Roman"/>
                <w:sz w:val="24"/>
              </w:rPr>
              <w:t>č. </w:t>
            </w:r>
            <w:r w:rsidRPr="00E036ED">
              <w:rPr>
                <w:rFonts w:ascii="Times New Roman" w:hAnsi="Times New Roman"/>
                <w:sz w:val="24"/>
              </w:rPr>
              <w:t>575/2013.</w:t>
            </w:r>
          </w:p>
          <w:p w14:paraId="69E0A09D" w14:textId="31FAA6E0" w:rsidR="00646595" w:rsidRPr="00E036ED" w:rsidRDefault="00646595" w:rsidP="00E036ED">
            <w:pPr>
              <w:pStyle w:val="Teksttreci0"/>
              <w:keepNext/>
              <w:widowControl/>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lastRenderedPageBreak/>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A4" w14:textId="77777777" w:rsidTr="009F3999">
        <w:trPr>
          <w:trHeight w:val="1535"/>
        </w:trPr>
        <w:tc>
          <w:tcPr>
            <w:tcW w:w="1380" w:type="dxa"/>
            <w:vAlign w:val="center"/>
          </w:tcPr>
          <w:p w14:paraId="69E0A09F"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EU-22j</w:t>
            </w:r>
          </w:p>
        </w:tc>
        <w:tc>
          <w:tcPr>
            <w:tcW w:w="7659" w:type="dxa"/>
          </w:tcPr>
          <w:p w14:paraId="405186CF" w14:textId="77777777" w:rsidR="00E036ED" w:rsidRDefault="00646595" w:rsidP="00E9371F">
            <w:pPr>
              <w:pStyle w:val="BodyText1"/>
              <w:spacing w:after="120" w:line="240" w:lineRule="auto"/>
              <w:rPr>
                <w:rFonts w:ascii="Times New Roman" w:hAnsi="Times New Roman"/>
                <w:b/>
                <w:color w:val="auto"/>
                <w:sz w:val="24"/>
              </w:rPr>
            </w:pPr>
            <w:r w:rsidRPr="00E036ED">
              <w:rPr>
                <w:rFonts w:ascii="Times New Roman" w:hAnsi="Times New Roman"/>
                <w:b/>
                <w:color w:val="auto"/>
                <w:sz w:val="24"/>
              </w:rPr>
              <w:t>(Zníženie hodnoty expozície úverov na predbežné financovanie alebo medziúverov)</w:t>
            </w:r>
          </w:p>
          <w:p w14:paraId="69E0A0A1" w14:textId="47091A76" w:rsidR="00646595" w:rsidRPr="00E036ED" w:rsidRDefault="00646595" w:rsidP="00E9371F">
            <w:pPr>
              <w:pStyle w:val="BodyText1"/>
              <w:spacing w:after="120" w:line="240" w:lineRule="auto"/>
              <w:rPr>
                <w:rFonts w:ascii="Times New Roman" w:hAnsi="Times New Roman"/>
                <w:bCs/>
                <w:color w:val="auto"/>
                <w:sz w:val="24"/>
                <w:szCs w:val="24"/>
              </w:rPr>
            </w:pPr>
            <w:r w:rsidRPr="00E036ED">
              <w:rPr>
                <w:rFonts w:ascii="Times New Roman" w:hAnsi="Times New Roman"/>
                <w:color w:val="auto"/>
                <w:sz w:val="24"/>
              </w:rPr>
              <w:t xml:space="preserve">Článok 429 ods. 8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A2" w14:textId="60AFEFF8" w:rsidR="00646595" w:rsidRPr="00E036ED" w:rsidRDefault="00646595">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Suma zníženia hodnoty expozície úveru na predbežné financovanie alebo medziúveru</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429 ods. 8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0A3" w14:textId="5AF72B5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5DC38D05" w14:textId="77777777" w:rsidTr="009F3999">
        <w:trPr>
          <w:trHeight w:val="1448"/>
        </w:trPr>
        <w:tc>
          <w:tcPr>
            <w:tcW w:w="1380" w:type="dxa"/>
            <w:vAlign w:val="center"/>
          </w:tcPr>
          <w:p w14:paraId="3EB06772" w14:textId="3AE8DEF1" w:rsidR="0091769B" w:rsidRPr="00E036ED"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EU-22k</w:t>
            </w:r>
          </w:p>
        </w:tc>
        <w:tc>
          <w:tcPr>
            <w:tcW w:w="7659" w:type="dxa"/>
          </w:tcPr>
          <w:p w14:paraId="4DE37801" w14:textId="09BC2578" w:rsidR="0091769B" w:rsidRPr="00E036ED"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E036ED">
              <w:rPr>
                <w:rFonts w:ascii="Times New Roman" w:hAnsi="Times New Roman"/>
                <w:b/>
                <w:sz w:val="24"/>
              </w:rPr>
              <w:t xml:space="preserve">[Vylúčené expozície voči akcionárom podľa článku 429a ods. 1 písm. da) nariadenia (EÚ) </w:t>
            </w:r>
            <w:r w:rsidR="00E036ED">
              <w:rPr>
                <w:rFonts w:ascii="Times New Roman" w:hAnsi="Times New Roman"/>
                <w:b/>
                <w:sz w:val="24"/>
              </w:rPr>
              <w:t>č. </w:t>
            </w:r>
            <w:r w:rsidRPr="00E036ED">
              <w:rPr>
                <w:rFonts w:ascii="Times New Roman" w:hAnsi="Times New Roman"/>
                <w:b/>
                <w:sz w:val="24"/>
              </w:rPr>
              <w:t>575/2013]</w:t>
            </w:r>
          </w:p>
          <w:p w14:paraId="407F3CD9" w14:textId="2D4FA0A6" w:rsidR="001E11E0" w:rsidRPr="00E036ED"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 xml:space="preserve">Článok 429a ods. 1 písm. da) nariadenia (EÚ) </w:t>
            </w:r>
            <w:r w:rsidR="00E036ED">
              <w:rPr>
                <w:rFonts w:ascii="Times New Roman" w:hAnsi="Times New Roman"/>
                <w:sz w:val="24"/>
              </w:rPr>
              <w:t>č. </w:t>
            </w:r>
            <w:r w:rsidRPr="00E036ED">
              <w:rPr>
                <w:rFonts w:ascii="Times New Roman" w:hAnsi="Times New Roman"/>
                <w:sz w:val="24"/>
              </w:rPr>
              <w:t>575/2013.</w:t>
            </w:r>
          </w:p>
          <w:p w14:paraId="107D6280" w14:textId="4F80E4CE" w:rsidR="006E679B" w:rsidRPr="00E036ED"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7203309B" w14:textId="77777777" w:rsidTr="009F3999">
        <w:trPr>
          <w:trHeight w:val="1448"/>
        </w:trPr>
        <w:tc>
          <w:tcPr>
            <w:tcW w:w="1380" w:type="dxa"/>
            <w:vAlign w:val="center"/>
          </w:tcPr>
          <w:p w14:paraId="522798DB" w14:textId="18FB2C45" w:rsidR="0091769B" w:rsidRPr="00E036ED"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EU-22l</w:t>
            </w:r>
          </w:p>
        </w:tc>
        <w:tc>
          <w:tcPr>
            <w:tcW w:w="7659" w:type="dxa"/>
          </w:tcPr>
          <w:p w14:paraId="57CB95DF" w14:textId="267B2A8F" w:rsidR="0091769B" w:rsidRPr="00E036ED"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sidRPr="00E036ED">
              <w:rPr>
                <w:rFonts w:ascii="Times New Roman" w:hAnsi="Times New Roman"/>
                <w:b/>
                <w:sz w:val="24"/>
              </w:rPr>
              <w:t>[Expozície odpočítané</w:t>
            </w:r>
            <w:r w:rsidR="00E036ED">
              <w:rPr>
                <w:rFonts w:ascii="Times New Roman" w:hAnsi="Times New Roman"/>
                <w:b/>
                <w:sz w:val="24"/>
              </w:rPr>
              <w:t xml:space="preserve"> v </w:t>
            </w:r>
            <w:r w:rsidRPr="00E036ED">
              <w:rPr>
                <w:rFonts w:ascii="Times New Roman" w:hAnsi="Times New Roman"/>
                <w:b/>
                <w:sz w:val="24"/>
              </w:rPr>
              <w:t>súlade</w:t>
            </w:r>
            <w:r w:rsidR="00E036ED">
              <w:rPr>
                <w:rFonts w:ascii="Times New Roman" w:hAnsi="Times New Roman"/>
                <w:b/>
                <w:sz w:val="24"/>
              </w:rPr>
              <w:t xml:space="preserve"> s </w:t>
            </w:r>
            <w:r w:rsidRPr="00E036ED">
              <w:rPr>
                <w:rFonts w:ascii="Times New Roman" w:hAnsi="Times New Roman"/>
                <w:b/>
                <w:sz w:val="24"/>
              </w:rPr>
              <w:t>článkom 429a ods. 1 písm. q) CRR]</w:t>
            </w:r>
          </w:p>
          <w:p w14:paraId="37A3A292" w14:textId="637BE1B4" w:rsidR="009346C3" w:rsidRPr="00E036ED"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Článok 429a ods. 1 písm. q) CRR.</w:t>
            </w:r>
          </w:p>
          <w:p w14:paraId="541FEF4F" w14:textId="7258D4C3" w:rsidR="009346C3" w:rsidRPr="00E036ED"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A9" w14:textId="77777777" w:rsidTr="009F3999">
        <w:trPr>
          <w:trHeight w:val="1448"/>
        </w:trPr>
        <w:tc>
          <w:tcPr>
            <w:tcW w:w="1380" w:type="dxa"/>
            <w:vAlign w:val="center"/>
          </w:tcPr>
          <w:p w14:paraId="69E0A0A5" w14:textId="228EAE81"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EU-22m</w:t>
            </w:r>
          </w:p>
        </w:tc>
        <w:tc>
          <w:tcPr>
            <w:tcW w:w="7659" w:type="dxa"/>
          </w:tcPr>
          <w:p w14:paraId="69E0A0A6" w14:textId="7777777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(Vylúčené expozície spolu)</w:t>
            </w:r>
          </w:p>
          <w:p w14:paraId="69E0A0A7" w14:textId="56C944DB"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sidRPr="00E036ED">
              <w:rPr>
                <w:rStyle w:val="TeksttreciPogrubienie"/>
                <w:rFonts w:ascii="Times New Roman" w:hAnsi="Times New Roman"/>
                <w:color w:val="auto"/>
                <w:sz w:val="24"/>
              </w:rPr>
              <w:t>Súčet riadkov EU-22a až EU-22l</w:t>
            </w:r>
          </w:p>
          <w:p w14:paraId="69E0A0A8" w14:textId="42661C1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Keďže sa hodnotou znižuje veľkosť celkovej expozície, inštitúcie uvádzajú hodnotu zverejnenú</w:t>
            </w:r>
            <w:r w:rsidR="00E036ED">
              <w:rPr>
                <w:rFonts w:ascii="Times New Roman" w:hAnsi="Times New Roman"/>
                <w:sz w:val="24"/>
              </w:rPr>
              <w:t xml:space="preserve"> v </w:t>
            </w:r>
            <w:r w:rsidRPr="00E036ED">
              <w:rPr>
                <w:rFonts w:ascii="Times New Roman" w:hAnsi="Times New Roman"/>
                <w:sz w:val="24"/>
              </w:rPr>
              <w:t>tomto riadku</w:t>
            </w:r>
            <w:r w:rsidR="00E036ED">
              <w:rPr>
                <w:rFonts w:ascii="Times New Roman" w:hAnsi="Times New Roman"/>
                <w:sz w:val="24"/>
              </w:rPr>
              <w:t xml:space="preserve"> v </w:t>
            </w:r>
            <w:r w:rsidRPr="00E036ED">
              <w:rPr>
                <w:rFonts w:ascii="Times New Roman" w:hAnsi="Times New Roman"/>
                <w:sz w:val="24"/>
              </w:rPr>
              <w:t>zátvorkách (záporná hodnota).</w:t>
            </w:r>
          </w:p>
        </w:tc>
      </w:tr>
      <w:tr w:rsidR="002312DE" w:rsidRPr="00E036ED" w14:paraId="69E0A0B0" w14:textId="77777777" w:rsidTr="009F3999">
        <w:trPr>
          <w:trHeight w:val="2265"/>
        </w:trPr>
        <w:tc>
          <w:tcPr>
            <w:tcW w:w="1380" w:type="dxa"/>
            <w:vAlign w:val="center"/>
          </w:tcPr>
          <w:p w14:paraId="69E0A0AA"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23</w:t>
            </w:r>
          </w:p>
        </w:tc>
        <w:tc>
          <w:tcPr>
            <w:tcW w:w="7659" w:type="dxa"/>
          </w:tcPr>
          <w:p w14:paraId="69E0A0AB"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Kapitál Tier 1</w:t>
            </w:r>
          </w:p>
          <w:p w14:paraId="69E0A0AC" w14:textId="4ADA13B6"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Článok 429f ods. 3</w:t>
            </w:r>
            <w:r w:rsidR="00E036ED">
              <w:rPr>
                <w:rFonts w:ascii="Times New Roman" w:hAnsi="Times New Roman"/>
                <w:sz w:val="24"/>
              </w:rPr>
              <w:t xml:space="preserve"> a </w:t>
            </w:r>
            <w:r w:rsidRPr="00E036ED">
              <w:rPr>
                <w:rFonts w:ascii="Times New Roman" w:hAnsi="Times New Roman"/>
                <w:sz w:val="24"/>
              </w:rPr>
              <w:t>článok 499 ods. 1</w:t>
            </w:r>
            <w:r w:rsidR="00E036ED">
              <w:rPr>
                <w:rFonts w:ascii="Times New Roman" w:hAnsi="Times New Roman"/>
                <w:sz w:val="24"/>
              </w:rPr>
              <w:t xml:space="preserve"> a </w:t>
            </w:r>
            <w:r w:rsidRPr="00E036ED">
              <w:rPr>
                <w:rFonts w:ascii="Times New Roman" w:hAnsi="Times New Roman"/>
                <w:sz w:val="24"/>
              </w:rPr>
              <w:t xml:space="preserve">2 nariadenia (EÚ) </w:t>
            </w:r>
            <w:r w:rsidR="00E036ED">
              <w:rPr>
                <w:rFonts w:ascii="Times New Roman" w:hAnsi="Times New Roman"/>
                <w:sz w:val="24"/>
              </w:rPr>
              <w:t>č. </w:t>
            </w:r>
            <w:r w:rsidRPr="00E036ED">
              <w:rPr>
                <w:rFonts w:ascii="Times New Roman" w:hAnsi="Times New Roman"/>
                <w:sz w:val="24"/>
              </w:rPr>
              <w:t>575/2013.</w:t>
            </w:r>
          </w:p>
          <w:p w14:paraId="69E0A0AD" w14:textId="61DABCF0"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výšku kapitálu Tier 1 vypočítanú</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rozhodnutím, ktoré inštitúcia prijala podľa článku 499 ods. 2 nariadenia (EÚ) </w:t>
            </w:r>
            <w:r w:rsidR="00E036ED">
              <w:rPr>
                <w:rFonts w:ascii="Times New Roman" w:hAnsi="Times New Roman"/>
                <w:sz w:val="24"/>
              </w:rPr>
              <w:t>č. </w:t>
            </w:r>
            <w:r w:rsidRPr="00E036ED">
              <w:rPr>
                <w:rFonts w:ascii="Times New Roman" w:hAnsi="Times New Roman"/>
                <w:sz w:val="24"/>
              </w:rPr>
              <w:t>575/2013, ako je zverejnené</w:t>
            </w:r>
            <w:r w:rsidR="00E036ED">
              <w:rPr>
                <w:rFonts w:ascii="Times New Roman" w:hAnsi="Times New Roman"/>
                <w:sz w:val="24"/>
              </w:rPr>
              <w:t xml:space="preserve"> v </w:t>
            </w:r>
            <w:r w:rsidRPr="00E036ED">
              <w:rPr>
                <w:rFonts w:ascii="Times New Roman" w:hAnsi="Times New Roman"/>
                <w:sz w:val="24"/>
              </w:rPr>
              <w:t>riadku EU-27 vzoru EU LR2 – LRCom.</w:t>
            </w:r>
          </w:p>
          <w:p w14:paraId="69E0A0AE" w14:textId="34F4C634"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Konkrétnejšie platí, že ak sa inštitúcia rozhodla zverejňovať kapitál Tier 1</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499 ods. 1 písm. a) nariadenia (EÚ) </w:t>
            </w:r>
            <w:r w:rsidR="00E036ED">
              <w:rPr>
                <w:rFonts w:ascii="Times New Roman" w:hAnsi="Times New Roman"/>
                <w:sz w:val="24"/>
              </w:rPr>
              <w:t>č. </w:t>
            </w:r>
            <w:r w:rsidRPr="00E036ED">
              <w:rPr>
                <w:rFonts w:ascii="Times New Roman" w:hAnsi="Times New Roman"/>
                <w:sz w:val="24"/>
              </w:rPr>
              <w:t>575/2013, zverejňuje výšku kapitálu Tier 1 tak, ako je vypočítaná</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25 nariadenia (EÚ) </w:t>
            </w:r>
            <w:r w:rsidR="00E036ED">
              <w:rPr>
                <w:rFonts w:ascii="Times New Roman" w:hAnsi="Times New Roman"/>
                <w:sz w:val="24"/>
              </w:rPr>
              <w:t>č. </w:t>
            </w:r>
            <w:r w:rsidRPr="00E036ED">
              <w:rPr>
                <w:rFonts w:ascii="Times New Roman" w:hAnsi="Times New Roman"/>
                <w:sz w:val="24"/>
              </w:rPr>
              <w:t>575/2013, bez zohľadňovania odchýlok stanovených</w:t>
            </w:r>
            <w:r w:rsidR="00E036ED">
              <w:rPr>
                <w:rFonts w:ascii="Times New Roman" w:hAnsi="Times New Roman"/>
                <w:sz w:val="24"/>
              </w:rPr>
              <w:t xml:space="preserve"> v </w:t>
            </w:r>
            <w:r w:rsidRPr="00E036ED">
              <w:rPr>
                <w:rFonts w:ascii="Times New Roman" w:hAnsi="Times New Roman"/>
                <w:sz w:val="24"/>
              </w:rPr>
              <w:t>desiatej časti hlave I kapitolách 1</w:t>
            </w:r>
            <w:r w:rsidR="00E036ED">
              <w:rPr>
                <w:rFonts w:ascii="Times New Roman" w:hAnsi="Times New Roman"/>
                <w:sz w:val="24"/>
              </w:rPr>
              <w:t xml:space="preserve"> a </w:t>
            </w:r>
            <w:r w:rsidRPr="00E036ED">
              <w:rPr>
                <w:rFonts w:ascii="Times New Roman" w:hAnsi="Times New Roman"/>
                <w:sz w:val="24"/>
              </w:rPr>
              <w:t xml:space="preserve">2 nariadenia (EÚ) </w:t>
            </w:r>
            <w:r w:rsidR="00E036ED">
              <w:rPr>
                <w:rFonts w:ascii="Times New Roman" w:hAnsi="Times New Roman"/>
                <w:sz w:val="24"/>
              </w:rPr>
              <w:t>č. </w:t>
            </w:r>
            <w:r w:rsidRPr="00E036ED">
              <w:rPr>
                <w:rFonts w:ascii="Times New Roman" w:hAnsi="Times New Roman"/>
                <w:sz w:val="24"/>
              </w:rPr>
              <w:t>575/2013.</w:t>
            </w:r>
          </w:p>
          <w:p w14:paraId="69E0A0AF" w14:textId="43B83F0A"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Na rozdiel od toho platí, že ak sa inštitúcia rozhodla zverejňovať kapitál Tier 1</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499 ods. 1 písm. b) nariadenia (EÚ) </w:t>
            </w:r>
            <w:r w:rsidR="00E036ED">
              <w:rPr>
                <w:rFonts w:ascii="Times New Roman" w:hAnsi="Times New Roman"/>
                <w:sz w:val="24"/>
              </w:rPr>
              <w:t>č. </w:t>
            </w:r>
            <w:r w:rsidRPr="00E036ED">
              <w:rPr>
                <w:rFonts w:ascii="Times New Roman" w:hAnsi="Times New Roman"/>
                <w:sz w:val="24"/>
              </w:rPr>
              <w:t>575/2013, zverejňuje výšku kapitálu Tier 1 tak, ako je vypočítaná</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25 nariadenia (EÚ) </w:t>
            </w:r>
            <w:r w:rsidR="00E036ED">
              <w:rPr>
                <w:rFonts w:ascii="Times New Roman" w:hAnsi="Times New Roman"/>
                <w:sz w:val="24"/>
              </w:rPr>
              <w:t>č. </w:t>
            </w:r>
            <w:r w:rsidRPr="00E036ED">
              <w:rPr>
                <w:rFonts w:ascii="Times New Roman" w:hAnsi="Times New Roman"/>
                <w:sz w:val="24"/>
              </w:rPr>
              <w:t>575/2013, po zohľadnení odchýlok stanovených</w:t>
            </w:r>
            <w:r w:rsidR="00E036ED">
              <w:rPr>
                <w:rFonts w:ascii="Times New Roman" w:hAnsi="Times New Roman"/>
                <w:sz w:val="24"/>
              </w:rPr>
              <w:t xml:space="preserve"> v </w:t>
            </w:r>
            <w:r w:rsidRPr="00E036ED">
              <w:rPr>
                <w:rFonts w:ascii="Times New Roman" w:hAnsi="Times New Roman"/>
                <w:sz w:val="24"/>
              </w:rPr>
              <w:t>desiatej časti hlave I kapitolách 1</w:t>
            </w:r>
            <w:r w:rsidR="00E036ED">
              <w:rPr>
                <w:rFonts w:ascii="Times New Roman" w:hAnsi="Times New Roman"/>
                <w:sz w:val="24"/>
              </w:rPr>
              <w:t xml:space="preserve"> a </w:t>
            </w:r>
            <w:r w:rsidRPr="00E036ED">
              <w:rPr>
                <w:rFonts w:ascii="Times New Roman" w:hAnsi="Times New Roman"/>
                <w:sz w:val="24"/>
              </w:rPr>
              <w:t xml:space="preserve">2 nariadenia (EÚ) </w:t>
            </w:r>
            <w:r w:rsidR="00E036ED">
              <w:rPr>
                <w:rFonts w:ascii="Times New Roman" w:hAnsi="Times New Roman"/>
                <w:sz w:val="24"/>
              </w:rPr>
              <w:t>č. </w:t>
            </w:r>
            <w:r w:rsidRPr="00E036ED">
              <w:rPr>
                <w:rFonts w:ascii="Times New Roman" w:hAnsi="Times New Roman"/>
                <w:sz w:val="24"/>
              </w:rPr>
              <w:t>575/2013.</w:t>
            </w:r>
          </w:p>
        </w:tc>
      </w:tr>
      <w:tr w:rsidR="002312DE" w:rsidRPr="00E036ED" w14:paraId="69E0A0B4" w14:textId="77777777" w:rsidTr="009F3999">
        <w:trPr>
          <w:trHeight w:val="685"/>
        </w:trPr>
        <w:tc>
          <w:tcPr>
            <w:tcW w:w="1380" w:type="dxa"/>
            <w:vAlign w:val="center"/>
          </w:tcPr>
          <w:p w14:paraId="69E0A0B1"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24</w:t>
            </w:r>
          </w:p>
        </w:tc>
        <w:tc>
          <w:tcPr>
            <w:tcW w:w="7659" w:type="dxa"/>
          </w:tcPr>
          <w:p w14:paraId="257EBC06" w14:textId="77777777" w:rsidR="00E036ED" w:rsidRDefault="00646595" w:rsidP="00E9371F">
            <w:pPr>
              <w:pStyle w:val="Teksttreci0"/>
              <w:shd w:val="clear" w:color="auto" w:fill="auto"/>
              <w:spacing w:after="120" w:line="240" w:lineRule="auto"/>
              <w:ind w:firstLine="0"/>
              <w:rPr>
                <w:rStyle w:val="TeksttreciPogrubienie"/>
                <w:rFonts w:ascii="Times New Roman" w:hAnsi="Times New Roman"/>
                <w:color w:val="auto"/>
                <w:sz w:val="24"/>
              </w:rPr>
            </w:pPr>
            <w:r w:rsidRPr="00E036ED">
              <w:rPr>
                <w:rStyle w:val="TeksttreciPogrubienie"/>
                <w:rFonts w:ascii="Times New Roman" w:hAnsi="Times New Roman"/>
                <w:color w:val="auto"/>
                <w:sz w:val="24"/>
              </w:rPr>
              <w:t>Veľkosť celkovej expozície</w:t>
            </w:r>
          </w:p>
          <w:p w14:paraId="69E0A0B3" w14:textId="12AD82C7" w:rsidR="00646595" w:rsidRPr="00E036ED"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sidRPr="00E036ED">
              <w:rPr>
                <w:rStyle w:val="TeksttreciPogrubienie"/>
                <w:rFonts w:ascii="Times New Roman" w:hAnsi="Times New Roman"/>
                <w:color w:val="auto"/>
                <w:sz w:val="24"/>
              </w:rPr>
              <w:t>Súčet súm</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riadkoch 7, 13, 18, 22</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EU-22k vzoru</w:t>
            </w:r>
            <w:r w:rsidRPr="00E036ED">
              <w:rPr>
                <w:rFonts w:ascii="Times New Roman" w:hAnsi="Times New Roman"/>
                <w:sz w:val="24"/>
              </w:rPr>
              <w:t xml:space="preserve"> EU LR2 – LRCom.</w:t>
            </w:r>
          </w:p>
        </w:tc>
      </w:tr>
      <w:tr w:rsidR="002312DE" w:rsidRPr="00E036ED" w14:paraId="69E0A0B8" w14:textId="77777777" w:rsidTr="009F3999">
        <w:trPr>
          <w:trHeight w:val="1164"/>
        </w:trPr>
        <w:tc>
          <w:tcPr>
            <w:tcW w:w="1380" w:type="dxa"/>
            <w:vAlign w:val="center"/>
          </w:tcPr>
          <w:p w14:paraId="69E0A0B5"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25</w:t>
            </w:r>
          </w:p>
        </w:tc>
        <w:tc>
          <w:tcPr>
            <w:tcW w:w="7659" w:type="dxa"/>
          </w:tcPr>
          <w:p w14:paraId="69E0A0B6"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Ukazovateľ finančnej páky (%)</w:t>
            </w:r>
          </w:p>
          <w:p w14:paraId="69E0A0B7" w14:textId="323BE556"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Fonts w:ascii="Times New Roman" w:hAnsi="Times New Roman"/>
                <w:sz w:val="24"/>
              </w:rPr>
              <w:t>Inštitúcie zverejňujú sumu</w:t>
            </w:r>
            <w:r w:rsidR="00E036ED">
              <w:rPr>
                <w:rFonts w:ascii="Times New Roman" w:hAnsi="Times New Roman"/>
                <w:sz w:val="24"/>
              </w:rPr>
              <w:t xml:space="preserve"> v </w:t>
            </w:r>
            <w:r w:rsidRPr="00E036ED">
              <w:rPr>
                <w:rFonts w:ascii="Times New Roman" w:hAnsi="Times New Roman"/>
                <w:sz w:val="24"/>
              </w:rPr>
              <w:t>riadku 23 vzoru EU LR2 – LRCom vyjadrenú ako percentuálny podiel sumy</w:t>
            </w:r>
            <w:r w:rsidR="00E036ED">
              <w:rPr>
                <w:rFonts w:ascii="Times New Roman" w:hAnsi="Times New Roman"/>
                <w:sz w:val="24"/>
              </w:rPr>
              <w:t xml:space="preserve"> v </w:t>
            </w:r>
            <w:r w:rsidRPr="00E036ED">
              <w:rPr>
                <w:rFonts w:ascii="Times New Roman" w:hAnsi="Times New Roman"/>
                <w:sz w:val="24"/>
              </w:rPr>
              <w:t>riadku 24 vzoru EU LR2 – LRCom.</w:t>
            </w:r>
          </w:p>
        </w:tc>
      </w:tr>
      <w:tr w:rsidR="002312DE" w:rsidRPr="00E036ED" w14:paraId="69E0A0BC" w14:textId="77777777" w:rsidTr="009F3999">
        <w:trPr>
          <w:trHeight w:val="1890"/>
        </w:trPr>
        <w:tc>
          <w:tcPr>
            <w:tcW w:w="1380" w:type="dxa"/>
            <w:vAlign w:val="center"/>
          </w:tcPr>
          <w:p w14:paraId="69E0A0B9"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EU-25</w:t>
            </w:r>
          </w:p>
        </w:tc>
        <w:tc>
          <w:tcPr>
            <w:tcW w:w="7659" w:type="dxa"/>
          </w:tcPr>
          <w:p w14:paraId="69E0A0BA" w14:textId="2E769673"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Ukazovateľ finančnej páky (bez vplyvu výnimky pre investície verejného sektora</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podporné úvery) (%)</w:t>
            </w:r>
          </w:p>
          <w:p w14:paraId="69E0A0BB" w14:textId="3B5E412F"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Fonts w:ascii="Times New Roman" w:hAnsi="Times New Roman"/>
                <w:sz w:val="24"/>
              </w:rPr>
              <w:t>V súlade</w:t>
            </w:r>
            <w:r w:rsidR="00E036ED">
              <w:rPr>
                <w:rFonts w:ascii="Times New Roman" w:hAnsi="Times New Roman"/>
                <w:sz w:val="24"/>
              </w:rPr>
              <w:t xml:space="preserve"> s </w:t>
            </w:r>
            <w:r w:rsidRPr="00E036ED">
              <w:rPr>
                <w:rFonts w:ascii="Times New Roman" w:hAnsi="Times New Roman"/>
                <w:sz w:val="24"/>
              </w:rPr>
              <w:t xml:space="preserve">článkom 451 ods. 2 nariadenia (EÚ) </w:t>
            </w:r>
            <w:r w:rsidR="00E036ED">
              <w:rPr>
                <w:rFonts w:ascii="Times New Roman" w:hAnsi="Times New Roman"/>
                <w:sz w:val="24"/>
              </w:rPr>
              <w:t>č. </w:t>
            </w:r>
            <w:r w:rsidRPr="00E036ED">
              <w:rPr>
                <w:rFonts w:ascii="Times New Roman" w:hAnsi="Times New Roman"/>
                <w:sz w:val="24"/>
              </w:rPr>
              <w:t>575/2013 verejné rozvojové úverové inštitúcie podľa vymedzenia</w:t>
            </w:r>
            <w:r w:rsidR="00E036ED">
              <w:rPr>
                <w:rFonts w:ascii="Times New Roman" w:hAnsi="Times New Roman"/>
                <w:sz w:val="24"/>
              </w:rPr>
              <w:t xml:space="preserve"> v </w:t>
            </w:r>
            <w:r w:rsidRPr="00E036ED">
              <w:rPr>
                <w:rFonts w:ascii="Times New Roman" w:hAnsi="Times New Roman"/>
                <w:sz w:val="24"/>
              </w:rPr>
              <w:t xml:space="preserve">článku 429a ods. 2 nariadenia (EÚ) </w:t>
            </w:r>
            <w:r w:rsidR="00E036ED">
              <w:rPr>
                <w:rFonts w:ascii="Times New Roman" w:hAnsi="Times New Roman"/>
                <w:sz w:val="24"/>
              </w:rPr>
              <w:t>č. </w:t>
            </w:r>
            <w:r w:rsidRPr="00E036ED">
              <w:rPr>
                <w:rFonts w:ascii="Times New Roman" w:hAnsi="Times New Roman"/>
                <w:sz w:val="24"/>
              </w:rPr>
              <w:t>575/2013 zverejňujú ukazovateľ finančnej páky bez úpravy veľkosti celkovej expozície určenej</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1 písm. d) nariadenia (EÚ) </w:t>
            </w:r>
            <w:r w:rsidR="00E036ED">
              <w:rPr>
                <w:rFonts w:ascii="Times New Roman" w:hAnsi="Times New Roman"/>
                <w:sz w:val="24"/>
              </w:rPr>
              <w:t>č. </w:t>
            </w:r>
            <w:r w:rsidRPr="00E036ED">
              <w:rPr>
                <w:rFonts w:ascii="Times New Roman" w:hAnsi="Times New Roman"/>
                <w:sz w:val="24"/>
              </w:rPr>
              <w:t>575/2013, t. j. bez úpravy, ktorá sa zverejňuje</w:t>
            </w:r>
            <w:r w:rsidR="00E036ED">
              <w:rPr>
                <w:rFonts w:ascii="Times New Roman" w:hAnsi="Times New Roman"/>
                <w:sz w:val="24"/>
              </w:rPr>
              <w:t xml:space="preserve"> v </w:t>
            </w:r>
            <w:r w:rsidRPr="00E036ED">
              <w:rPr>
                <w:rFonts w:ascii="Times New Roman" w:hAnsi="Times New Roman"/>
                <w:sz w:val="24"/>
              </w:rPr>
              <w:t>riadkoch EU-22c</w:t>
            </w:r>
            <w:r w:rsidR="00E036ED">
              <w:rPr>
                <w:rFonts w:ascii="Times New Roman" w:hAnsi="Times New Roman"/>
                <w:sz w:val="24"/>
              </w:rPr>
              <w:t xml:space="preserve"> a </w:t>
            </w:r>
            <w:r w:rsidRPr="00E036ED">
              <w:rPr>
                <w:rFonts w:ascii="Times New Roman" w:hAnsi="Times New Roman"/>
                <w:sz w:val="24"/>
              </w:rPr>
              <w:t>EU-22d tohto vzoru.</w:t>
            </w:r>
          </w:p>
        </w:tc>
      </w:tr>
      <w:tr w:rsidR="002312DE" w:rsidRPr="00E036ED" w14:paraId="69E0A0C1" w14:textId="77777777" w:rsidTr="009F3999">
        <w:trPr>
          <w:trHeight w:val="2265"/>
        </w:trPr>
        <w:tc>
          <w:tcPr>
            <w:tcW w:w="1380" w:type="dxa"/>
            <w:vAlign w:val="center"/>
          </w:tcPr>
          <w:p w14:paraId="69E0A0BD"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25a</w:t>
            </w:r>
          </w:p>
        </w:tc>
        <w:tc>
          <w:tcPr>
            <w:tcW w:w="7659" w:type="dxa"/>
            <w:vAlign w:val="center"/>
          </w:tcPr>
          <w:p w14:paraId="69E0A0BE" w14:textId="7777777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Ukazovateľ finančnej páky (bez vplyvu akejkoľvek uplatniteľnej dočasnej výnimky pre rezervy centrálnych bánk) (%)</w:t>
            </w:r>
          </w:p>
          <w:p w14:paraId="69E0A0BF" w14:textId="1454614F"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 sa na veľkosť celkovej expozície inštitúcie vzťahuje dočasná výnimka pre rezervy centrálnych bánk stanovená</w:t>
            </w:r>
            <w:r w:rsidR="00E036ED">
              <w:rPr>
                <w:rFonts w:ascii="Times New Roman" w:hAnsi="Times New Roman"/>
                <w:sz w:val="24"/>
              </w:rPr>
              <w:t xml:space="preserve"> v </w:t>
            </w:r>
            <w:r w:rsidRPr="00E036ED">
              <w:rPr>
                <w:rFonts w:ascii="Times New Roman" w:hAnsi="Times New Roman"/>
                <w:sz w:val="24"/>
              </w:rPr>
              <w:t xml:space="preserve">článku 429a ods. 1 písm. n) nariadenia (EÚ) </w:t>
            </w:r>
            <w:r w:rsidR="00E036ED">
              <w:rPr>
                <w:rFonts w:ascii="Times New Roman" w:hAnsi="Times New Roman"/>
                <w:sz w:val="24"/>
              </w:rPr>
              <w:t>č. </w:t>
            </w:r>
            <w:r w:rsidRPr="00E036ED">
              <w:rPr>
                <w:rFonts w:ascii="Times New Roman" w:hAnsi="Times New Roman"/>
                <w:sz w:val="24"/>
              </w:rPr>
              <w:t>575/2013, tento pomer sa vymedzuje ako miera kapitálu Tier 1 vydelená súčtom veľkosti celkovej expozície</w:t>
            </w:r>
            <w:r w:rsidR="00E036ED">
              <w:rPr>
                <w:rFonts w:ascii="Times New Roman" w:hAnsi="Times New Roman"/>
                <w:sz w:val="24"/>
              </w:rPr>
              <w:t xml:space="preserve"> a </w:t>
            </w:r>
            <w:r w:rsidRPr="00E036ED">
              <w:rPr>
                <w:rFonts w:ascii="Times New Roman" w:hAnsi="Times New Roman"/>
                <w:sz w:val="24"/>
              </w:rPr>
              <w:t>výšky výnimky pre rezervy centrálnych bánk, pričom tento pomer sa vyjadruje ako percentuálny podiel.</w:t>
            </w:r>
          </w:p>
          <w:p w14:paraId="69E0A0C0" w14:textId="4EF2ECE3"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Ak sa na veľkosť celkovej expozície inštitúcie nevzťahuje dočasná výnimka pre rezervy centrálnych bánk, tento pomer bude totožný</w:t>
            </w:r>
            <w:r w:rsidR="00E036ED">
              <w:rPr>
                <w:rFonts w:ascii="Times New Roman" w:hAnsi="Times New Roman"/>
                <w:sz w:val="24"/>
              </w:rPr>
              <w:t xml:space="preserve"> s </w:t>
            </w:r>
            <w:r w:rsidRPr="00E036ED">
              <w:rPr>
                <w:rFonts w:ascii="Times New Roman" w:hAnsi="Times New Roman"/>
                <w:sz w:val="24"/>
              </w:rPr>
              <w:t>pomerom zverejneným</w:t>
            </w:r>
            <w:r w:rsidR="00E036ED">
              <w:rPr>
                <w:rFonts w:ascii="Times New Roman" w:hAnsi="Times New Roman"/>
                <w:sz w:val="24"/>
              </w:rPr>
              <w:t xml:space="preserve"> v </w:t>
            </w:r>
            <w:r w:rsidRPr="00E036ED">
              <w:rPr>
                <w:rFonts w:ascii="Times New Roman" w:hAnsi="Times New Roman"/>
                <w:sz w:val="24"/>
              </w:rPr>
              <w:t>riadku 25.</w:t>
            </w:r>
          </w:p>
        </w:tc>
      </w:tr>
      <w:tr w:rsidR="002312DE" w:rsidRPr="00E036ED" w14:paraId="69E0A0C6" w14:textId="77777777" w:rsidTr="009F3999">
        <w:trPr>
          <w:trHeight w:val="1152"/>
        </w:trPr>
        <w:tc>
          <w:tcPr>
            <w:tcW w:w="1380" w:type="dxa"/>
            <w:vAlign w:val="center"/>
          </w:tcPr>
          <w:p w14:paraId="69E0A0C2"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26</w:t>
            </w:r>
          </w:p>
        </w:tc>
        <w:tc>
          <w:tcPr>
            <w:tcW w:w="7659" w:type="dxa"/>
            <w:vAlign w:val="center"/>
          </w:tcPr>
          <w:p w14:paraId="69E0A0C3" w14:textId="7777777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Regulačná požiadavka na minimálny ukazovateľ finančnej páky (%)</w:t>
            </w:r>
          </w:p>
          <w:p w14:paraId="69E0A0C4" w14:textId="37DE2074" w:rsidR="00646595" w:rsidRPr="00E036ED" w:rsidRDefault="00646595" w:rsidP="17C07D06">
            <w:pPr>
              <w:widowControl w:val="0"/>
              <w:spacing w:after="120"/>
              <w:jc w:val="both"/>
              <w:rPr>
                <w:rFonts w:ascii="Times New Roman" w:eastAsia="Book Antiqua" w:hAnsi="Times New Roman" w:cs="Times New Roman"/>
                <w:sz w:val="24"/>
                <w:shd w:val="clear" w:color="auto" w:fill="FFFFFF"/>
              </w:rPr>
            </w:pPr>
            <w:r w:rsidRPr="00E036ED">
              <w:rPr>
                <w:rFonts w:ascii="Times New Roman" w:hAnsi="Times New Roman"/>
                <w:sz w:val="24"/>
              </w:rPr>
              <w:t xml:space="preserve">Článok 92 ods. 1 písm. d), </w:t>
            </w:r>
            <w:r w:rsidRPr="00E036ED">
              <w:rPr>
                <w:rFonts w:ascii="Times New Roman" w:hAnsi="Times New Roman"/>
                <w:sz w:val="24"/>
                <w:shd w:val="clear" w:color="auto" w:fill="FFFFFF"/>
              </w:rPr>
              <w:t>článok 429a ods. 1</w:t>
            </w:r>
            <w:r w:rsidRPr="00E036ED">
              <w:rPr>
                <w:rFonts w:ascii="Times New Roman" w:hAnsi="Times New Roman"/>
                <w:sz w:val="24"/>
              </w:rPr>
              <w:t xml:space="preserve"> písm. n)</w:t>
            </w:r>
            <w:r w:rsidR="00E036ED">
              <w:rPr>
                <w:rFonts w:ascii="Times New Roman" w:hAnsi="Times New Roman"/>
                <w:sz w:val="24"/>
              </w:rPr>
              <w:t xml:space="preserve"> a </w:t>
            </w:r>
            <w:r w:rsidRPr="00E036ED">
              <w:rPr>
                <w:rFonts w:ascii="Times New Roman" w:hAnsi="Times New Roman"/>
                <w:sz w:val="24"/>
                <w:shd w:val="clear" w:color="auto" w:fill="FFFFFF"/>
              </w:rPr>
              <w:t>článok 429a ods. 7</w:t>
            </w:r>
            <w:r w:rsidRPr="00E036ED">
              <w:rPr>
                <w:rFonts w:ascii="Times New Roman" w:hAnsi="Times New Roman"/>
                <w:sz w:val="24"/>
              </w:rPr>
              <w:t xml:space="preserve"> nariadenia (EÚ) </w:t>
            </w:r>
            <w:r w:rsidR="00E036ED">
              <w:rPr>
                <w:rFonts w:ascii="Times New Roman" w:hAnsi="Times New Roman"/>
                <w:sz w:val="24"/>
              </w:rPr>
              <w:t>č. </w:t>
            </w:r>
            <w:r w:rsidRPr="00E036ED">
              <w:rPr>
                <w:rFonts w:ascii="Times New Roman" w:hAnsi="Times New Roman"/>
                <w:sz w:val="24"/>
              </w:rPr>
              <w:t>575/2013.</w:t>
            </w:r>
          </w:p>
          <w:p w14:paraId="69E0A0C5" w14:textId="546E0853" w:rsidR="00646595" w:rsidRPr="00E036ED" w:rsidRDefault="00646595" w:rsidP="17C07D06">
            <w:pPr>
              <w:tabs>
                <w:tab w:val="left" w:pos="400"/>
              </w:tabs>
              <w:spacing w:after="120"/>
              <w:jc w:val="both"/>
              <w:rPr>
                <w:rFonts w:ascii="Times New Roman" w:hAnsi="Times New Roman" w:cs="Times New Roman"/>
                <w:sz w:val="24"/>
                <w:u w:val="single"/>
              </w:rPr>
            </w:pPr>
            <w:r w:rsidRPr="00E036ED">
              <w:rPr>
                <w:rFonts w:ascii="Times New Roman" w:hAnsi="Times New Roman"/>
                <w:sz w:val="24"/>
              </w:rPr>
              <w:t>Inštitúcie zverejňujú požiadavku na ukazovateľ finančnej páky, ako je vymedzená</w:t>
            </w:r>
            <w:r w:rsidR="00E036ED">
              <w:rPr>
                <w:rFonts w:ascii="Times New Roman" w:hAnsi="Times New Roman"/>
                <w:sz w:val="24"/>
              </w:rPr>
              <w:t xml:space="preserve"> v </w:t>
            </w:r>
            <w:r w:rsidRPr="00E036ED">
              <w:rPr>
                <w:rFonts w:ascii="Times New Roman" w:hAnsi="Times New Roman"/>
                <w:sz w:val="24"/>
              </w:rPr>
              <w:t xml:space="preserve">článku 92 ods. 1 písm. d) nariadenia (EÚ) </w:t>
            </w:r>
            <w:r w:rsidR="00E036ED">
              <w:rPr>
                <w:rFonts w:ascii="Times New Roman" w:hAnsi="Times New Roman"/>
                <w:sz w:val="24"/>
              </w:rPr>
              <w:t>č. </w:t>
            </w:r>
            <w:r w:rsidRPr="00E036ED">
              <w:rPr>
                <w:rFonts w:ascii="Times New Roman" w:hAnsi="Times New Roman"/>
                <w:sz w:val="24"/>
              </w:rPr>
              <w:t>575/2013.</w:t>
            </w:r>
            <w:r w:rsidRPr="00E036ED">
              <w:rPr>
                <w:rFonts w:ascii="Times New Roman" w:hAnsi="Times New Roman"/>
                <w:sz w:val="24"/>
                <w:shd w:val="clear" w:color="auto" w:fill="FFFFFF"/>
              </w:rPr>
              <w:t xml:space="preserve"> </w:t>
            </w:r>
            <w:r w:rsidRPr="00E036ED">
              <w:rPr>
                <w:rFonts w:ascii="Times New Roman" w:hAnsi="Times New Roman"/>
                <w:sz w:val="24"/>
              </w:rPr>
              <w:t>Ak inštitúcia vylúči expozície uvedené</w:t>
            </w:r>
            <w:r w:rsidR="00E036ED">
              <w:rPr>
                <w:rFonts w:ascii="Times New Roman" w:hAnsi="Times New Roman"/>
                <w:sz w:val="24"/>
              </w:rPr>
              <w:t xml:space="preserve"> v </w:t>
            </w:r>
            <w:r w:rsidRPr="00E036ED">
              <w:rPr>
                <w:rFonts w:ascii="Times New Roman" w:hAnsi="Times New Roman"/>
                <w:sz w:val="24"/>
              </w:rPr>
              <w:t xml:space="preserve">článku 429a ods. 1 písm. n) nariadenia (EÚ) </w:t>
            </w:r>
            <w:r w:rsidR="00E036ED">
              <w:rPr>
                <w:rFonts w:ascii="Times New Roman" w:hAnsi="Times New Roman"/>
                <w:sz w:val="24"/>
              </w:rPr>
              <w:t>č. </w:t>
            </w:r>
            <w:r w:rsidRPr="00E036ED">
              <w:rPr>
                <w:rFonts w:ascii="Times New Roman" w:hAnsi="Times New Roman"/>
                <w:sz w:val="24"/>
              </w:rPr>
              <w:t>575/2013, zverejňuje upravenú požiadavku na ukazovateľ finančnej páky vypočítanú</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429a ods. 7 nariadenia (EÚ) </w:t>
            </w:r>
            <w:r w:rsidR="00E036ED">
              <w:rPr>
                <w:rFonts w:ascii="Times New Roman" w:hAnsi="Times New Roman"/>
                <w:sz w:val="24"/>
              </w:rPr>
              <w:t>č. </w:t>
            </w:r>
            <w:r w:rsidRPr="00E036ED">
              <w:rPr>
                <w:rFonts w:ascii="Times New Roman" w:hAnsi="Times New Roman"/>
                <w:sz w:val="24"/>
              </w:rPr>
              <w:t>575/2013.</w:t>
            </w:r>
          </w:p>
        </w:tc>
      </w:tr>
      <w:tr w:rsidR="002312DE" w:rsidRPr="00E036ED" w14:paraId="69E0A0CA" w14:textId="77777777" w:rsidTr="009F3999">
        <w:trPr>
          <w:trHeight w:val="1792"/>
        </w:trPr>
        <w:tc>
          <w:tcPr>
            <w:tcW w:w="1380" w:type="dxa"/>
            <w:vAlign w:val="center"/>
          </w:tcPr>
          <w:p w14:paraId="69E0A0C7"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EU-26a</w:t>
            </w:r>
          </w:p>
        </w:tc>
        <w:tc>
          <w:tcPr>
            <w:tcW w:w="7659" w:type="dxa"/>
          </w:tcPr>
          <w:p w14:paraId="3D27E104" w14:textId="77777777" w:rsidR="00E036ED" w:rsidRDefault="00646595" w:rsidP="00E9371F">
            <w:pPr>
              <w:pStyle w:val="Teksttreci0"/>
              <w:shd w:val="clear" w:color="auto" w:fill="auto"/>
              <w:spacing w:after="120" w:line="240" w:lineRule="auto"/>
              <w:ind w:firstLine="0"/>
              <w:rPr>
                <w:rFonts w:ascii="Times New Roman" w:hAnsi="Times New Roman"/>
                <w:b/>
                <w:sz w:val="24"/>
              </w:rPr>
            </w:pPr>
            <w:r w:rsidRPr="00E036ED">
              <w:rPr>
                <w:rFonts w:ascii="Times New Roman" w:hAnsi="Times New Roman"/>
                <w:b/>
                <w:sz w:val="24"/>
              </w:rPr>
              <w:t>Dodatočné požiadavky na vlastné zdroje na riešenie rizika nadmerného využívania finančnej páky (%)</w:t>
            </w:r>
          </w:p>
          <w:p w14:paraId="69E0A0C9" w14:textId="0A0000B5"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Dodatočné požiadavky na vlastné zdroje na riešenie rizika nadmerného využívania finančnej páky, ktoré uložil príslušný orgán podľa článku 104 ods. 1 písm. a) smernice 2013/36/EÚ („CRD“), vyjadrené ako percentuálny podiel veľkosti celkovej expozície.</w:t>
            </w:r>
          </w:p>
        </w:tc>
      </w:tr>
      <w:tr w:rsidR="002312DE" w:rsidRPr="00E036ED" w14:paraId="69E0A0CE" w14:textId="77777777" w:rsidTr="009F3999">
        <w:trPr>
          <w:trHeight w:val="1691"/>
        </w:trPr>
        <w:tc>
          <w:tcPr>
            <w:tcW w:w="1380" w:type="dxa"/>
            <w:vAlign w:val="center"/>
          </w:tcPr>
          <w:p w14:paraId="69E0A0CB"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EU-26b</w:t>
            </w:r>
          </w:p>
        </w:tc>
        <w:tc>
          <w:tcPr>
            <w:tcW w:w="7659" w:type="dxa"/>
          </w:tcPr>
          <w:p w14:paraId="69E0A0CC" w14:textId="1802CD2D" w:rsidR="00646595" w:rsidRPr="00E036ED" w:rsidRDefault="00E036ED"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Z </w:t>
            </w:r>
            <w:r w:rsidR="00646595" w:rsidRPr="00E036ED">
              <w:rPr>
                <w:rFonts w:ascii="Times New Roman" w:hAnsi="Times New Roman"/>
                <w:b/>
                <w:sz w:val="24"/>
              </w:rPr>
              <w:t>čoho: ktoré majú byť tvorené kapitálom CET1 (percentuálne body)</w:t>
            </w:r>
          </w:p>
          <w:p w14:paraId="69E0A0CD" w14:textId="75FF85F4" w:rsidR="00646595" w:rsidRPr="00E036ED" w:rsidRDefault="00646595" w:rsidP="17C07D06">
            <w:pPr>
              <w:spacing w:after="120"/>
              <w:jc w:val="both"/>
              <w:rPr>
                <w:rFonts w:ascii="Times New Roman" w:hAnsi="Times New Roman" w:cs="Times New Roman"/>
                <w:b/>
                <w:bCs/>
                <w:sz w:val="24"/>
              </w:rPr>
            </w:pPr>
            <w:r w:rsidRPr="00E036ED">
              <w:rPr>
                <w:rFonts w:ascii="Times New Roman" w:hAnsi="Times New Roman"/>
                <w:sz w:val="24"/>
              </w:rPr>
              <w:t>Časť dodatočných požiadaviek na vlastné zdroje na riešenie rizika nadmerného využívania finančnej páky, ktoré uložil príslušný orgán podľa článku 104 ods. 1 písm. a) smernice 2013/36/EÚ, ktorá sa musí splniť prostredníctvom kapitálu CET 1</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článkom 104a ods. 4 tretím pododsekom.</w:t>
            </w:r>
          </w:p>
        </w:tc>
      </w:tr>
      <w:tr w:rsidR="002312DE" w:rsidRPr="00E036ED" w14:paraId="69E0A0D3" w14:textId="77777777" w:rsidTr="009F3999">
        <w:trPr>
          <w:trHeight w:val="1290"/>
        </w:trPr>
        <w:tc>
          <w:tcPr>
            <w:tcW w:w="1380" w:type="dxa"/>
            <w:vAlign w:val="center"/>
          </w:tcPr>
          <w:p w14:paraId="69E0A0CF"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27</w:t>
            </w:r>
          </w:p>
        </w:tc>
        <w:tc>
          <w:tcPr>
            <w:tcW w:w="7659" w:type="dxa"/>
          </w:tcPr>
          <w:p w14:paraId="69E0A0D0" w14:textId="7777777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Požiadavka na vankúš ukazovateľa finančnej páky (%)</w:t>
            </w:r>
          </w:p>
          <w:p w14:paraId="69E0A0D1" w14:textId="3672C1AF"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 xml:space="preserve">Článok 92 ods. 1a nariadenia (EÚ) </w:t>
            </w:r>
            <w:r w:rsidR="00E036ED">
              <w:rPr>
                <w:rFonts w:ascii="Times New Roman" w:hAnsi="Times New Roman"/>
                <w:sz w:val="24"/>
              </w:rPr>
              <w:t>č. </w:t>
            </w:r>
            <w:r w:rsidRPr="00E036ED">
              <w:rPr>
                <w:rFonts w:ascii="Times New Roman" w:hAnsi="Times New Roman"/>
                <w:sz w:val="24"/>
              </w:rPr>
              <w:t>575/2013.</w:t>
            </w:r>
          </w:p>
          <w:p w14:paraId="69E0A0D2" w14:textId="39364C88"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sidRPr="00E036ED">
              <w:rPr>
                <w:rFonts w:ascii="Times New Roman" w:hAnsi="Times New Roman"/>
                <w:sz w:val="24"/>
              </w:rPr>
              <w:t xml:space="preserve">Inštitúcie, na ktoré sa vzťahuje článok 92 ods. 1a nariadenia (EÚ) </w:t>
            </w:r>
            <w:r w:rsidR="00E036ED">
              <w:rPr>
                <w:rFonts w:ascii="Times New Roman" w:hAnsi="Times New Roman"/>
                <w:sz w:val="24"/>
              </w:rPr>
              <w:t>č. </w:t>
            </w:r>
            <w:r w:rsidRPr="00E036ED">
              <w:rPr>
                <w:rFonts w:ascii="Times New Roman" w:hAnsi="Times New Roman"/>
                <w:sz w:val="24"/>
              </w:rPr>
              <w:t>575/2013, zverejňujú svoju uplatniteľnú požiadavku na vankúš ukazovateľa finančnej páky.</w:t>
            </w:r>
          </w:p>
        </w:tc>
      </w:tr>
      <w:tr w:rsidR="002312DE" w:rsidRPr="00E036ED" w14:paraId="69E0A0D7" w14:textId="77777777" w:rsidTr="009F3999">
        <w:trPr>
          <w:trHeight w:val="816"/>
        </w:trPr>
        <w:tc>
          <w:tcPr>
            <w:tcW w:w="1380" w:type="dxa"/>
            <w:vAlign w:val="center"/>
          </w:tcPr>
          <w:p w14:paraId="69E0A0D4"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EU-27a</w:t>
            </w:r>
          </w:p>
        </w:tc>
        <w:tc>
          <w:tcPr>
            <w:tcW w:w="7659" w:type="dxa"/>
          </w:tcPr>
          <w:p w14:paraId="69E0A0D5" w14:textId="77777777" w:rsidR="00646595" w:rsidRPr="00E036ED"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sidRPr="00E036ED">
              <w:rPr>
                <w:rFonts w:ascii="Times New Roman" w:hAnsi="Times New Roman"/>
                <w:b/>
                <w:sz w:val="24"/>
              </w:rPr>
              <w:t>Požiadavka na celkový ukazovateľ finančnej páky (%)</w:t>
            </w:r>
          </w:p>
          <w:p w14:paraId="69E0A0D6" w14:textId="2525667D" w:rsidR="00646595" w:rsidRPr="00E036ED"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sidRPr="00E036ED">
              <w:rPr>
                <w:rFonts w:ascii="Times New Roman" w:hAnsi="Times New Roman"/>
                <w:sz w:val="24"/>
              </w:rPr>
              <w:t>Súčet riadkov 26, EU-26a</w:t>
            </w:r>
            <w:r w:rsidR="00E036ED">
              <w:rPr>
                <w:rFonts w:ascii="Times New Roman" w:hAnsi="Times New Roman"/>
                <w:sz w:val="24"/>
              </w:rPr>
              <w:t xml:space="preserve"> a </w:t>
            </w:r>
            <w:r w:rsidRPr="00E036ED">
              <w:rPr>
                <w:rFonts w:ascii="Times New Roman" w:hAnsi="Times New Roman"/>
                <w:sz w:val="24"/>
              </w:rPr>
              <w:t>27 tohto vzoru.</w:t>
            </w:r>
          </w:p>
        </w:tc>
      </w:tr>
      <w:tr w:rsidR="002312DE" w:rsidRPr="00E036ED" w14:paraId="69E0A0DE" w14:textId="77777777" w:rsidTr="009F3999">
        <w:trPr>
          <w:trHeight w:val="416"/>
        </w:trPr>
        <w:tc>
          <w:tcPr>
            <w:tcW w:w="1380" w:type="dxa"/>
            <w:vAlign w:val="center"/>
          </w:tcPr>
          <w:p w14:paraId="69E0A0D8"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EU-27b</w:t>
            </w:r>
          </w:p>
        </w:tc>
        <w:tc>
          <w:tcPr>
            <w:tcW w:w="7659" w:type="dxa"/>
          </w:tcPr>
          <w:p w14:paraId="69E0A0D9"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Výber prechodných opatrení na vymedzenie veľkosti kapitálu</w:t>
            </w:r>
          </w:p>
          <w:p w14:paraId="69E0A0DA" w14:textId="17D3FE2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Článok 499 ods. 2 nariadenia (EÚ) </w:t>
            </w:r>
            <w:r w:rsidR="00E036ED">
              <w:rPr>
                <w:rFonts w:ascii="Times New Roman" w:hAnsi="Times New Roman"/>
                <w:sz w:val="24"/>
              </w:rPr>
              <w:t>č. </w:t>
            </w:r>
            <w:r w:rsidRPr="00E036ED">
              <w:rPr>
                <w:rFonts w:ascii="Times New Roman" w:hAnsi="Times New Roman"/>
                <w:sz w:val="24"/>
              </w:rPr>
              <w:t>575/2013.</w:t>
            </w:r>
          </w:p>
          <w:p w14:paraId="69E0A0DB" w14:textId="7A1D1CAD"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uvedú svoj výber prechodných opatrení pre kapitál na účely požiadaviek na zverejňovanie tak, že zverejňujú jedno</w:t>
            </w:r>
            <w:r w:rsidR="00E036ED">
              <w:rPr>
                <w:rFonts w:ascii="Times New Roman" w:hAnsi="Times New Roman"/>
                <w:sz w:val="24"/>
              </w:rPr>
              <w:t xml:space="preserve"> z </w:t>
            </w:r>
            <w:r w:rsidRPr="00E036ED">
              <w:rPr>
                <w:rFonts w:ascii="Times New Roman" w:hAnsi="Times New Roman"/>
                <w:sz w:val="24"/>
              </w:rPr>
              <w:t>týchto dvoch označení:</w:t>
            </w:r>
          </w:p>
          <w:p w14:paraId="69E0A0DC" w14:textId="6BD87479" w:rsidR="00646595" w:rsidRPr="00E036ED"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E036ED">
              <w:rPr>
                <w:rFonts w:ascii="Times New Roman" w:hAnsi="Times New Roman"/>
                <w:sz w:val="24"/>
              </w:rPr>
              <w:t>„úplne zavedené“, ak sa inštitúcia rozhodne zverejňovať ukazovateľ finančnej páky</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499 ods. 1 písm. a) nariadenia (EÚ) </w:t>
            </w:r>
            <w:r w:rsidR="00E036ED">
              <w:rPr>
                <w:rFonts w:ascii="Times New Roman" w:hAnsi="Times New Roman"/>
                <w:sz w:val="24"/>
              </w:rPr>
              <w:t>č. </w:t>
            </w:r>
            <w:r w:rsidRPr="00E036ED">
              <w:rPr>
                <w:rFonts w:ascii="Times New Roman" w:hAnsi="Times New Roman"/>
                <w:sz w:val="24"/>
              </w:rPr>
              <w:t>575/2013;</w:t>
            </w:r>
          </w:p>
          <w:p w14:paraId="69E0A0DD" w14:textId="18704264" w:rsidR="00646595" w:rsidRPr="00E036ED"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E036ED">
              <w:rPr>
                <w:rFonts w:ascii="Times New Roman" w:hAnsi="Times New Roman"/>
                <w:sz w:val="24"/>
              </w:rPr>
              <w:t>„prechodné“, ak sa inštitúcia rozhodne zverejňovať ukazovateľ finančnej páky</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499 ods. 1 písm. b) nariadenia (EÚ) </w:t>
            </w:r>
            <w:r w:rsidR="00E036ED">
              <w:rPr>
                <w:rFonts w:ascii="Times New Roman" w:hAnsi="Times New Roman"/>
                <w:sz w:val="24"/>
              </w:rPr>
              <w:t>č. </w:t>
            </w:r>
            <w:r w:rsidRPr="00E036ED">
              <w:rPr>
                <w:rFonts w:ascii="Times New Roman" w:hAnsi="Times New Roman"/>
                <w:sz w:val="24"/>
              </w:rPr>
              <w:t>575/2013.</w:t>
            </w:r>
          </w:p>
        </w:tc>
      </w:tr>
      <w:tr w:rsidR="002312DE" w:rsidRPr="00E036ED" w14:paraId="69E0A0E2" w14:textId="77777777" w:rsidTr="009F3999">
        <w:trPr>
          <w:trHeight w:val="1461"/>
        </w:trPr>
        <w:tc>
          <w:tcPr>
            <w:tcW w:w="1380" w:type="dxa"/>
            <w:vAlign w:val="center"/>
          </w:tcPr>
          <w:p w14:paraId="69E0A0DF"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 xml:space="preserve"> 28</w:t>
            </w:r>
          </w:p>
        </w:tc>
        <w:tc>
          <w:tcPr>
            <w:tcW w:w="7659" w:type="dxa"/>
            <w:vAlign w:val="center"/>
          </w:tcPr>
          <w:p w14:paraId="69E0A0E0" w14:textId="2D6DA546" w:rsidR="00646595" w:rsidRPr="00E036ED"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Priemer denných hodnôt hrubých aktív SFT po úprave</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transakcie na základe účtovania predajov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po vzájomnom započítaní súm súvisiacich peňažných záväzkov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peňažných pohľadávok</w:t>
            </w:r>
          </w:p>
          <w:p w14:paraId="69E0A0E1" w14:textId="5E5CFDA7"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Článok 451 ods. 3</w:t>
            </w:r>
            <w:r w:rsidRPr="00E036ED">
              <w:rPr>
                <w:rFonts w:ascii="Times New Roman" w:hAnsi="Times New Roman"/>
                <w:sz w:val="24"/>
              </w:rPr>
              <w:t xml:space="preserve"> nariadenia (EÚ) </w:t>
            </w:r>
            <w:r w:rsidR="00E036ED">
              <w:rPr>
                <w:rFonts w:ascii="Times New Roman" w:hAnsi="Times New Roman"/>
                <w:sz w:val="24"/>
              </w:rPr>
              <w:t>č. </w:t>
            </w:r>
            <w:r w:rsidRPr="00E036ED">
              <w:rPr>
                <w:rFonts w:ascii="Times New Roman" w:hAnsi="Times New Roman"/>
                <w:sz w:val="24"/>
              </w:rPr>
              <w:t>575/2013</w:t>
            </w:r>
            <w:r w:rsidRPr="00E036ED">
              <w:rPr>
                <w:rStyle w:val="TeksttreciPogrubienie"/>
                <w:rFonts w:ascii="Times New Roman" w:hAnsi="Times New Roman"/>
                <w:b w:val="0"/>
                <w:color w:val="auto"/>
                <w:sz w:val="24"/>
              </w:rPr>
              <w:t>; priemer súčtov riadkov 14</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15 na základe súčtov vypočítaných ku každému dňu štvrťroka zverejňovania informácií.</w:t>
            </w:r>
          </w:p>
        </w:tc>
      </w:tr>
      <w:tr w:rsidR="002312DE" w:rsidRPr="00E036ED" w14:paraId="69E0A0E7" w14:textId="77777777" w:rsidTr="009F3999">
        <w:trPr>
          <w:trHeight w:val="2265"/>
        </w:trPr>
        <w:tc>
          <w:tcPr>
            <w:tcW w:w="1380" w:type="dxa"/>
            <w:vAlign w:val="center"/>
          </w:tcPr>
          <w:p w14:paraId="69E0A0E3"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29</w:t>
            </w:r>
          </w:p>
        </w:tc>
        <w:tc>
          <w:tcPr>
            <w:tcW w:w="7659" w:type="dxa"/>
            <w:vAlign w:val="center"/>
          </w:tcPr>
          <w:p w14:paraId="69E0A0E4" w14:textId="6E6D2209"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Hodnota hrubých aktív SFT ku koncu štvrťroka, po úprave</w:t>
            </w:r>
            <w:r w:rsidR="00E036ED">
              <w:rPr>
                <w:rStyle w:val="TeksttreciPogrubienie"/>
                <w:rFonts w:ascii="Times New Roman" w:hAnsi="Times New Roman"/>
                <w:b w:val="0"/>
                <w:color w:val="auto"/>
                <w:sz w:val="24"/>
              </w:rPr>
              <w:t xml:space="preserve"> o </w:t>
            </w:r>
            <w:r w:rsidRPr="00E036ED">
              <w:rPr>
                <w:rStyle w:val="TeksttreciPogrubienie"/>
                <w:rFonts w:ascii="Times New Roman" w:hAnsi="Times New Roman"/>
                <w:b w:val="0"/>
                <w:color w:val="auto"/>
                <w:sz w:val="24"/>
              </w:rPr>
              <w:t>transakcie na základe účtovania predajov</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po vzájomnom započítaní súm súvisiacich peňažných záväzkov</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peňažných pohľadávok</w:t>
            </w:r>
          </w:p>
          <w:p w14:paraId="69E0A0E5" w14:textId="77DAA3B3"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Ak sú riadky 14</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15 založené na hodnotách ku koncu štvrťroka, táto suma je súčtom riadkov 14</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15.</w:t>
            </w:r>
          </w:p>
          <w:p w14:paraId="69E0A0E6" w14:textId="2BA5BCBD"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Ak sú riadky 14</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15 založené na spriemerovaných hodnotách, táto suma je súčtom hodnôt ku koncu štvrťroka zodpovedajúcich obsahu riadkov 14</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15.</w:t>
            </w:r>
          </w:p>
        </w:tc>
      </w:tr>
      <w:tr w:rsidR="002312DE" w:rsidRPr="00E036ED" w14:paraId="69E0A0EC" w14:textId="77777777" w:rsidTr="009F3999">
        <w:trPr>
          <w:trHeight w:val="2265"/>
        </w:trPr>
        <w:tc>
          <w:tcPr>
            <w:tcW w:w="1380" w:type="dxa"/>
            <w:vAlign w:val="center"/>
          </w:tcPr>
          <w:p w14:paraId="69E0A0E8"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30</w:t>
            </w:r>
          </w:p>
        </w:tc>
        <w:tc>
          <w:tcPr>
            <w:tcW w:w="7659" w:type="dxa"/>
            <w:vAlign w:val="center"/>
          </w:tcPr>
          <w:p w14:paraId="69E0A0E9" w14:textId="19962440" w:rsidR="00646595" w:rsidRPr="00E036ED"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Celková veľkosť expozície (vrátane vplyvu akejkoľvek uplatniteľnej dočasnej výnimky pre rezervy centrálnych bánk) zahŕňajúca priemerné hodnoty</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riadku 28 hrubých aktív SFT (po úprave</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transakcie na základe účtovania predajov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po vzájomnom započítaní súm súvisiacich peňažných záväzkov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peňažných pohľadávok)</w:t>
            </w:r>
          </w:p>
          <w:p w14:paraId="69E0A0EA" w14:textId="1C46BFDA"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 xml:space="preserve">Článok 451 ods. 3 nariadenia (EÚ) </w:t>
            </w:r>
            <w:r w:rsidR="00E036ED">
              <w:rPr>
                <w:rStyle w:val="TeksttreciPogrubienie"/>
                <w:rFonts w:ascii="Times New Roman" w:hAnsi="Times New Roman"/>
                <w:b w:val="0"/>
                <w:color w:val="auto"/>
                <w:sz w:val="24"/>
              </w:rPr>
              <w:t>č. </w:t>
            </w:r>
            <w:r w:rsidRPr="00E036ED">
              <w:rPr>
                <w:rStyle w:val="TeksttreciPogrubienie"/>
                <w:rFonts w:ascii="Times New Roman" w:hAnsi="Times New Roman"/>
                <w:b w:val="0"/>
                <w:color w:val="auto"/>
                <w:sz w:val="24"/>
              </w:rPr>
              <w:t>575/2013.</w:t>
            </w:r>
          </w:p>
          <w:p w14:paraId="69E0A0EB" w14:textId="3C3CA20B"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Celková veľkosť expozície (vrátane vplyvu akejkoľvek uplatniteľnej dočasnej výnimky pre rezervy centrálnych bánk)</w:t>
            </w:r>
            <w:r w:rsidR="00E036ED">
              <w:rPr>
                <w:rStyle w:val="TeksttreciPogrubienie"/>
                <w:rFonts w:ascii="Times New Roman" w:hAnsi="Times New Roman"/>
                <w:b w:val="0"/>
                <w:color w:val="auto"/>
                <w:sz w:val="24"/>
              </w:rPr>
              <w:t xml:space="preserve"> s </w:t>
            </w:r>
            <w:r w:rsidRPr="00E036ED">
              <w:rPr>
                <w:rStyle w:val="TeksttreciPogrubienie"/>
                <w:rFonts w:ascii="Times New Roman" w:hAnsi="Times New Roman"/>
                <w:b w:val="0"/>
                <w:color w:val="auto"/>
                <w:sz w:val="24"/>
              </w:rPr>
              <w:t>použitím priemerných hodnôt vypočítaných ku každému dňu štvrťroka zverejňovania informácií pre sumy veľkosti expozície súvisiace</w:t>
            </w:r>
            <w:r w:rsidR="00E036ED">
              <w:rPr>
                <w:rStyle w:val="TeksttreciPogrubienie"/>
                <w:rFonts w:ascii="Times New Roman" w:hAnsi="Times New Roman"/>
                <w:b w:val="0"/>
                <w:color w:val="auto"/>
                <w:sz w:val="24"/>
              </w:rPr>
              <w:t xml:space="preserve"> s </w:t>
            </w:r>
            <w:r w:rsidRPr="00E036ED">
              <w:rPr>
                <w:rStyle w:val="TeksttreciPogrubienie"/>
                <w:rFonts w:ascii="Times New Roman" w:hAnsi="Times New Roman"/>
                <w:b w:val="0"/>
                <w:color w:val="auto"/>
                <w:sz w:val="24"/>
              </w:rPr>
              <w:t>hrubými aktívami SFT (po úprave</w:t>
            </w:r>
            <w:r w:rsidR="00E036ED">
              <w:rPr>
                <w:rStyle w:val="TeksttreciPogrubienie"/>
                <w:rFonts w:ascii="Times New Roman" w:hAnsi="Times New Roman"/>
                <w:b w:val="0"/>
                <w:color w:val="auto"/>
                <w:sz w:val="24"/>
              </w:rPr>
              <w:t xml:space="preserve"> o </w:t>
            </w:r>
            <w:r w:rsidRPr="00E036ED">
              <w:rPr>
                <w:rStyle w:val="TeksttreciPogrubienie"/>
                <w:rFonts w:ascii="Times New Roman" w:hAnsi="Times New Roman"/>
                <w:b w:val="0"/>
                <w:color w:val="auto"/>
                <w:sz w:val="24"/>
              </w:rPr>
              <w:t>transakcie na základe účtovania predajov</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po vzájomnom započítaní súm súvisiacich peňažných záväzkov</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peňažných pohľadávok).</w:t>
            </w:r>
          </w:p>
        </w:tc>
      </w:tr>
      <w:tr w:rsidR="002312DE" w:rsidRPr="00E036ED" w14:paraId="69E0A0F2" w14:textId="77777777" w:rsidTr="009F3999">
        <w:trPr>
          <w:trHeight w:val="2265"/>
        </w:trPr>
        <w:tc>
          <w:tcPr>
            <w:tcW w:w="1380" w:type="dxa"/>
            <w:vAlign w:val="center"/>
          </w:tcPr>
          <w:p w14:paraId="69E0A0ED"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30a</w:t>
            </w:r>
          </w:p>
        </w:tc>
        <w:tc>
          <w:tcPr>
            <w:tcW w:w="7659" w:type="dxa"/>
            <w:vAlign w:val="center"/>
          </w:tcPr>
          <w:p w14:paraId="69E0A0EE" w14:textId="312B808B" w:rsidR="00646595" w:rsidRPr="00E036ED"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Celková veľkosť expozície (bez vplyvu akejkoľvek uplatniteľnej dočasnej výnimky pre rezervy centrálnych bánk) zahŕňajúca priemerné hodnoty</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riadku 28 hrubých aktív SFT (po úprave</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transakcie na základe účtovania predajov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po vzájomnom započítaní súm súvisiacich peňažných záväzkov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peňažných pohľadávok)</w:t>
            </w:r>
          </w:p>
          <w:p w14:paraId="69E0A0EF" w14:textId="2888F99D"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 xml:space="preserve">Článok 451 ods. 3 nariadenia (EÚ) </w:t>
            </w:r>
            <w:r w:rsidR="00E036ED">
              <w:rPr>
                <w:rStyle w:val="TeksttreciPogrubienie"/>
                <w:rFonts w:ascii="Times New Roman" w:hAnsi="Times New Roman"/>
                <w:b w:val="0"/>
                <w:color w:val="auto"/>
                <w:sz w:val="24"/>
              </w:rPr>
              <w:t>č. </w:t>
            </w:r>
            <w:r w:rsidRPr="00E036ED">
              <w:rPr>
                <w:rStyle w:val="TeksttreciPogrubienie"/>
                <w:rFonts w:ascii="Times New Roman" w:hAnsi="Times New Roman"/>
                <w:b w:val="0"/>
                <w:color w:val="auto"/>
                <w:sz w:val="24"/>
              </w:rPr>
              <w:t>575/2013.</w:t>
            </w:r>
          </w:p>
          <w:p w14:paraId="69E0A0F0" w14:textId="47A26842"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Celková veľkosť expozície (bez vplyvu akejkoľvek uplatniteľnej dočasnej výnimky pre rezervy centrálnych bánk)</w:t>
            </w:r>
            <w:r w:rsidR="00E036ED">
              <w:rPr>
                <w:rStyle w:val="TeksttreciPogrubienie"/>
                <w:rFonts w:ascii="Times New Roman" w:hAnsi="Times New Roman"/>
                <w:b w:val="0"/>
                <w:color w:val="auto"/>
                <w:sz w:val="24"/>
              </w:rPr>
              <w:t xml:space="preserve"> s </w:t>
            </w:r>
            <w:r w:rsidRPr="00E036ED">
              <w:rPr>
                <w:rStyle w:val="TeksttreciPogrubienie"/>
                <w:rFonts w:ascii="Times New Roman" w:hAnsi="Times New Roman"/>
                <w:b w:val="0"/>
                <w:color w:val="auto"/>
                <w:sz w:val="24"/>
              </w:rPr>
              <w:t>použitím priemerných hodnôt vypočítaných ku každému dňu štvrťroka zverejňovania informácií pre sumy veľkosti expozície súvisiace</w:t>
            </w:r>
            <w:r w:rsidR="00E036ED">
              <w:rPr>
                <w:rStyle w:val="TeksttreciPogrubienie"/>
                <w:rFonts w:ascii="Times New Roman" w:hAnsi="Times New Roman"/>
                <w:b w:val="0"/>
                <w:color w:val="auto"/>
                <w:sz w:val="24"/>
              </w:rPr>
              <w:t xml:space="preserve"> s </w:t>
            </w:r>
            <w:r w:rsidRPr="00E036ED">
              <w:rPr>
                <w:rStyle w:val="TeksttreciPogrubienie"/>
                <w:rFonts w:ascii="Times New Roman" w:hAnsi="Times New Roman"/>
                <w:b w:val="0"/>
                <w:color w:val="auto"/>
                <w:sz w:val="24"/>
              </w:rPr>
              <w:t>hrubými aktívami SFT (po úprave</w:t>
            </w:r>
            <w:r w:rsidR="00E036ED">
              <w:rPr>
                <w:rStyle w:val="TeksttreciPogrubienie"/>
                <w:rFonts w:ascii="Times New Roman" w:hAnsi="Times New Roman"/>
                <w:b w:val="0"/>
                <w:color w:val="auto"/>
                <w:sz w:val="24"/>
              </w:rPr>
              <w:t xml:space="preserve"> o </w:t>
            </w:r>
            <w:r w:rsidRPr="00E036ED">
              <w:rPr>
                <w:rStyle w:val="TeksttreciPogrubienie"/>
                <w:rFonts w:ascii="Times New Roman" w:hAnsi="Times New Roman"/>
                <w:b w:val="0"/>
                <w:color w:val="auto"/>
                <w:sz w:val="24"/>
              </w:rPr>
              <w:t>transakcie na základe účtovania predajov</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po vzájomnom započítaní súm súvisiacich peňažných záväzkov</w:t>
            </w:r>
            <w:r w:rsidR="00E036ED">
              <w:rPr>
                <w:rStyle w:val="TeksttreciPogrubienie"/>
                <w:rFonts w:ascii="Times New Roman" w:hAnsi="Times New Roman"/>
                <w:b w:val="0"/>
                <w:color w:val="auto"/>
                <w:sz w:val="24"/>
              </w:rPr>
              <w:t xml:space="preserve"> a </w:t>
            </w:r>
            <w:r w:rsidRPr="00E036ED">
              <w:rPr>
                <w:rStyle w:val="TeksttreciPogrubienie"/>
                <w:rFonts w:ascii="Times New Roman" w:hAnsi="Times New Roman"/>
                <w:b w:val="0"/>
                <w:color w:val="auto"/>
                <w:sz w:val="24"/>
              </w:rPr>
              <w:t>peňažných pohľadávok).</w:t>
            </w:r>
          </w:p>
          <w:p w14:paraId="69E0A0F1" w14:textId="5230D654"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b w:val="0"/>
                <w:color w:val="auto"/>
                <w:sz w:val="24"/>
              </w:rPr>
              <w:t>Ak sa na veľkosť celkovej expozície inštitúcie nevzťahuje dočasná výnimka pre rezervy centrálnych bánk, táto hodnota bude totožná</w:t>
            </w:r>
            <w:r w:rsidR="00E036ED">
              <w:rPr>
                <w:rStyle w:val="TeksttreciPogrubienie"/>
                <w:rFonts w:ascii="Times New Roman" w:hAnsi="Times New Roman"/>
                <w:b w:val="0"/>
                <w:color w:val="auto"/>
                <w:sz w:val="24"/>
              </w:rPr>
              <w:t xml:space="preserve"> s </w:t>
            </w:r>
            <w:r w:rsidRPr="00E036ED">
              <w:rPr>
                <w:rStyle w:val="TeksttreciPogrubienie"/>
                <w:rFonts w:ascii="Times New Roman" w:hAnsi="Times New Roman"/>
                <w:b w:val="0"/>
                <w:color w:val="auto"/>
                <w:sz w:val="24"/>
              </w:rPr>
              <w:t>hodnotou zverejnenou</w:t>
            </w:r>
            <w:r w:rsidR="00E036ED">
              <w:rPr>
                <w:rStyle w:val="TeksttreciPogrubienie"/>
                <w:rFonts w:ascii="Times New Roman" w:hAnsi="Times New Roman"/>
                <w:b w:val="0"/>
                <w:color w:val="auto"/>
                <w:sz w:val="24"/>
              </w:rPr>
              <w:t xml:space="preserve"> v </w:t>
            </w:r>
            <w:r w:rsidRPr="00E036ED">
              <w:rPr>
                <w:rStyle w:val="TeksttreciPogrubienie"/>
                <w:rFonts w:ascii="Times New Roman" w:hAnsi="Times New Roman"/>
                <w:b w:val="0"/>
                <w:color w:val="auto"/>
                <w:sz w:val="24"/>
              </w:rPr>
              <w:t>riadku 30 tohto vzoru.</w:t>
            </w:r>
          </w:p>
        </w:tc>
      </w:tr>
      <w:tr w:rsidR="002312DE" w:rsidRPr="00E036ED" w14:paraId="69E0A0F6" w14:textId="77777777" w:rsidTr="009F3999">
        <w:trPr>
          <w:trHeight w:val="836"/>
        </w:trPr>
        <w:tc>
          <w:tcPr>
            <w:tcW w:w="1380" w:type="dxa"/>
            <w:vAlign w:val="center"/>
          </w:tcPr>
          <w:p w14:paraId="69E0A0F3"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31</w:t>
            </w:r>
          </w:p>
        </w:tc>
        <w:tc>
          <w:tcPr>
            <w:tcW w:w="7659" w:type="dxa"/>
            <w:vAlign w:val="center"/>
          </w:tcPr>
          <w:p w14:paraId="69E0A0F4" w14:textId="0D3396EA"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Ukazovateľ finančnej páky (vrátane vplyvu akejkoľvek uplatniteľnej dočasnej výnimky pre rezervy centrálnych bánk) zahŕňajúci priemerné hodnoty</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riadku 28 hrubých aktív SFT (po úprave</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transakcie na základe účtovania predajov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po vzájomnom započítaní súm súvisiacich peňažných záväzkov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peňažných pohľadávok)</w:t>
            </w:r>
          </w:p>
          <w:p w14:paraId="69E0A0F5" w14:textId="12E41F27"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 xml:space="preserve">Článok 451 ods. 3 nariadenia (EÚ) </w:t>
            </w:r>
            <w:r w:rsidR="00E036ED">
              <w:rPr>
                <w:rStyle w:val="TeksttreciPogrubienie"/>
                <w:rFonts w:ascii="Times New Roman" w:hAnsi="Times New Roman"/>
                <w:b w:val="0"/>
                <w:color w:val="auto"/>
                <w:sz w:val="24"/>
              </w:rPr>
              <w:t>č. </w:t>
            </w:r>
            <w:r w:rsidRPr="00E036ED">
              <w:rPr>
                <w:rStyle w:val="TeksttreciPogrubienie"/>
                <w:rFonts w:ascii="Times New Roman" w:hAnsi="Times New Roman"/>
                <w:b w:val="0"/>
                <w:color w:val="auto"/>
                <w:sz w:val="24"/>
              </w:rPr>
              <w:t>575/2013.</w:t>
            </w:r>
          </w:p>
        </w:tc>
      </w:tr>
      <w:tr w:rsidR="002312DE" w:rsidRPr="00E036ED" w14:paraId="69E0A0FA" w14:textId="77777777" w:rsidTr="009F3999">
        <w:trPr>
          <w:trHeight w:val="915"/>
        </w:trPr>
        <w:tc>
          <w:tcPr>
            <w:tcW w:w="1380" w:type="dxa"/>
            <w:vAlign w:val="center"/>
          </w:tcPr>
          <w:p w14:paraId="69E0A0F7"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31a</w:t>
            </w:r>
          </w:p>
        </w:tc>
        <w:tc>
          <w:tcPr>
            <w:tcW w:w="7659" w:type="dxa"/>
            <w:vAlign w:val="center"/>
          </w:tcPr>
          <w:p w14:paraId="69E0A0F8" w14:textId="4F278077"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sidRPr="00E036ED">
              <w:rPr>
                <w:rStyle w:val="TeksttreciPogrubienie"/>
                <w:rFonts w:ascii="Times New Roman" w:hAnsi="Times New Roman"/>
                <w:color w:val="auto"/>
                <w:sz w:val="24"/>
              </w:rPr>
              <w:t>Ukazovateľ finančnej páky (bez vplyvu akejkoľvek uplatniteľnej dočasnej výnimky pre rezervy centrálnych bánk) zahŕňajúci priemerné hodnoty</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riadku 28 hrubých aktív SFT (po úprave</w:t>
            </w:r>
            <w:r w:rsidR="00E036ED">
              <w:rPr>
                <w:rStyle w:val="TeksttreciPogrubienie"/>
                <w:rFonts w:ascii="Times New Roman" w:hAnsi="Times New Roman"/>
                <w:color w:val="auto"/>
                <w:sz w:val="24"/>
              </w:rPr>
              <w:t xml:space="preserve"> o </w:t>
            </w:r>
            <w:r w:rsidRPr="00E036ED">
              <w:rPr>
                <w:rStyle w:val="TeksttreciPogrubienie"/>
                <w:rFonts w:ascii="Times New Roman" w:hAnsi="Times New Roman"/>
                <w:color w:val="auto"/>
                <w:sz w:val="24"/>
              </w:rPr>
              <w:t>transakcie na základe účtovania predajov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po vzájomnom započítaní súm súvisiacich peňažných záväzkov</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peňažných pohľadávok)</w:t>
            </w:r>
          </w:p>
          <w:p w14:paraId="69E0A0F9" w14:textId="12F93C50" w:rsidR="00646595" w:rsidRPr="00E036ED"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sidRPr="00E036ED">
              <w:rPr>
                <w:rStyle w:val="TeksttreciPogrubienie"/>
                <w:rFonts w:ascii="Times New Roman" w:hAnsi="Times New Roman"/>
                <w:b w:val="0"/>
                <w:color w:val="auto"/>
                <w:sz w:val="24"/>
              </w:rPr>
              <w:t xml:space="preserve">Článok 451 ods. 3 nariadenia (EÚ) </w:t>
            </w:r>
            <w:r w:rsidR="00E036ED">
              <w:rPr>
                <w:rStyle w:val="TeksttreciPogrubienie"/>
                <w:rFonts w:ascii="Times New Roman" w:hAnsi="Times New Roman"/>
                <w:b w:val="0"/>
                <w:color w:val="auto"/>
                <w:sz w:val="24"/>
              </w:rPr>
              <w:t>č. </w:t>
            </w:r>
            <w:r w:rsidRPr="00E036ED">
              <w:rPr>
                <w:rStyle w:val="TeksttreciPogrubienie"/>
                <w:rFonts w:ascii="Times New Roman" w:hAnsi="Times New Roman"/>
                <w:b w:val="0"/>
                <w:color w:val="auto"/>
                <w:sz w:val="24"/>
              </w:rPr>
              <w:t>575/2013.</w:t>
            </w:r>
          </w:p>
        </w:tc>
      </w:tr>
    </w:tbl>
    <w:p w14:paraId="69E0A0FB" w14:textId="77777777" w:rsidR="00646595" w:rsidRPr="00E036ED"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5464A3AF" w:rsidR="00646595" w:rsidRPr="00E036ED"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E036ED">
        <w:rPr>
          <w:rFonts w:ascii="Times New Roman" w:hAnsi="Times New Roman"/>
          <w:sz w:val="24"/>
        </w:rPr>
        <w:t>Vzor EU LR3 – LRSpl: Rozčlenenie súvahových expozícií (bez derivátov, SFT</w:t>
      </w:r>
      <w:r w:rsidR="00E036ED">
        <w:rPr>
          <w:rFonts w:ascii="Times New Roman" w:hAnsi="Times New Roman"/>
          <w:sz w:val="24"/>
        </w:rPr>
        <w:t xml:space="preserve"> a </w:t>
      </w:r>
      <w:r w:rsidRPr="00E036ED">
        <w:rPr>
          <w:rFonts w:ascii="Times New Roman" w:hAnsi="Times New Roman"/>
          <w:sz w:val="24"/>
        </w:rPr>
        <w:t xml:space="preserve">vyňatých expozícií). </w:t>
      </w:r>
      <w:r w:rsidRPr="00E036ED">
        <w:rPr>
          <w:rFonts w:ascii="Times New Roman" w:hAnsi="Times New Roman"/>
          <w:b w:val="0"/>
          <w:sz w:val="24"/>
        </w:rPr>
        <w:t>Pevný formát</w:t>
      </w:r>
    </w:p>
    <w:p w14:paraId="69E0A0FD" w14:textId="4B910523" w:rsidR="00646595" w:rsidRPr="00E036ED" w:rsidRDefault="00646595" w:rsidP="00646595">
      <w:pPr>
        <w:pStyle w:val="ListParagraph"/>
        <w:numPr>
          <w:ilvl w:val="0"/>
          <w:numId w:val="6"/>
        </w:numPr>
        <w:spacing w:after="120"/>
        <w:ind w:left="426"/>
        <w:rPr>
          <w:rFonts w:ascii="Times New Roman" w:hAnsi="Times New Roman"/>
          <w:sz w:val="24"/>
          <w:szCs w:val="24"/>
        </w:rPr>
      </w:pPr>
      <w:r w:rsidRPr="00E036ED">
        <w:rPr>
          <w:rFonts w:ascii="Times New Roman" w:hAnsi="Times New Roman"/>
          <w:sz w:val="24"/>
        </w:rPr>
        <w:t>Inštitúcie uplatňujú pokyny uvedené</w:t>
      </w:r>
      <w:r w:rsidR="00E036ED">
        <w:rPr>
          <w:rFonts w:ascii="Times New Roman" w:hAnsi="Times New Roman"/>
          <w:sz w:val="24"/>
        </w:rPr>
        <w:t xml:space="preserve"> v </w:t>
      </w:r>
      <w:r w:rsidRPr="00E036ED">
        <w:rPr>
          <w:rFonts w:ascii="Times New Roman" w:hAnsi="Times New Roman"/>
          <w:sz w:val="24"/>
        </w:rPr>
        <w:t xml:space="preserve">tomto oddiele na vyplnenie vzoru LRSpl pri uplatňovaní článku 451 ods. 1 písm. b) nariadenia (EÚ) </w:t>
      </w:r>
      <w:r w:rsidR="00E036ED">
        <w:rPr>
          <w:rFonts w:ascii="Times New Roman" w:hAnsi="Times New Roman"/>
          <w:sz w:val="24"/>
        </w:rPr>
        <w:t>č. </w:t>
      </w:r>
      <w:r w:rsidRPr="00E036ED">
        <w:rPr>
          <w:rFonts w:ascii="Times New Roman" w:hAnsi="Times New Roman"/>
          <w:sz w:val="24"/>
        </w:rPr>
        <w:t>575/2013.</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E036ED"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0258591" w:rsidR="00646595" w:rsidRPr="00E036ED" w:rsidRDefault="00646595" w:rsidP="00E9371F">
            <w:pPr>
              <w:spacing w:after="120"/>
              <w:rPr>
                <w:rFonts w:ascii="Times New Roman" w:hAnsi="Times New Roman" w:cs="Times New Roman"/>
                <w:b/>
                <w:sz w:val="24"/>
              </w:rPr>
            </w:pPr>
            <w:r w:rsidRPr="00E036ED">
              <w:rPr>
                <w:rFonts w:ascii="Times New Roman" w:hAnsi="Times New Roman"/>
                <w:b/>
                <w:sz w:val="24"/>
              </w:rPr>
              <w:t>Odkazy na právne predpisy</w:t>
            </w:r>
            <w:r w:rsidR="00E036ED">
              <w:rPr>
                <w:rFonts w:ascii="Times New Roman" w:hAnsi="Times New Roman"/>
                <w:b/>
                <w:sz w:val="24"/>
              </w:rPr>
              <w:t xml:space="preserve"> a </w:t>
            </w:r>
            <w:r w:rsidRPr="00E036ED">
              <w:rPr>
                <w:rFonts w:ascii="Times New Roman" w:hAnsi="Times New Roman"/>
                <w:b/>
                <w:sz w:val="24"/>
              </w:rPr>
              <w:t>pokyny</w:t>
            </w:r>
          </w:p>
        </w:tc>
      </w:tr>
      <w:tr w:rsidR="002312DE" w:rsidRPr="00E036ED" w14:paraId="69E0A102" w14:textId="77777777" w:rsidTr="009F3999">
        <w:trPr>
          <w:trHeight w:val="238"/>
        </w:trPr>
        <w:tc>
          <w:tcPr>
            <w:tcW w:w="1380" w:type="dxa"/>
            <w:shd w:val="clear" w:color="auto" w:fill="D9D9D9" w:themeFill="background1" w:themeFillShade="D9"/>
          </w:tcPr>
          <w:p w14:paraId="69E0A100" w14:textId="77777777" w:rsidR="00646595" w:rsidRPr="00E036ED" w:rsidRDefault="00646595" w:rsidP="00E9371F">
            <w:pPr>
              <w:autoSpaceDE w:val="0"/>
              <w:autoSpaceDN w:val="0"/>
              <w:adjustRightInd w:val="0"/>
              <w:spacing w:after="120"/>
              <w:rPr>
                <w:rFonts w:ascii="Times New Roman" w:hAnsi="Times New Roman" w:cs="Times New Roman"/>
                <w:b/>
                <w:sz w:val="24"/>
              </w:rPr>
            </w:pPr>
            <w:r w:rsidRPr="00E036ED">
              <w:rPr>
                <w:rFonts w:ascii="Times New Roman" w:hAnsi="Times New Roman"/>
                <w:b/>
                <w:sz w:val="24"/>
              </w:rPr>
              <w:t>Číslo riadku</w:t>
            </w:r>
          </w:p>
        </w:tc>
        <w:tc>
          <w:tcPr>
            <w:tcW w:w="7659" w:type="dxa"/>
            <w:shd w:val="clear" w:color="auto" w:fill="D9D9D9" w:themeFill="background1" w:themeFillShade="D9"/>
          </w:tcPr>
          <w:p w14:paraId="69E0A101" w14:textId="77777777" w:rsidR="00646595" w:rsidRPr="00E036ED" w:rsidRDefault="00646595" w:rsidP="00E9371F">
            <w:pPr>
              <w:autoSpaceDE w:val="0"/>
              <w:autoSpaceDN w:val="0"/>
              <w:adjustRightInd w:val="0"/>
              <w:spacing w:after="120"/>
              <w:rPr>
                <w:rFonts w:ascii="Times New Roman" w:hAnsi="Times New Roman" w:cs="Times New Roman"/>
                <w:sz w:val="24"/>
              </w:rPr>
            </w:pPr>
            <w:r w:rsidRPr="00E036ED">
              <w:rPr>
                <w:rFonts w:ascii="Times New Roman" w:hAnsi="Times New Roman"/>
                <w:b/>
                <w:sz w:val="24"/>
              </w:rPr>
              <w:t>Vysvetlenie</w:t>
            </w:r>
          </w:p>
        </w:tc>
      </w:tr>
      <w:tr w:rsidR="002312DE" w:rsidRPr="00E036ED" w14:paraId="69E0A106" w14:textId="77777777" w:rsidTr="009F3999">
        <w:trPr>
          <w:trHeight w:val="1161"/>
        </w:trPr>
        <w:tc>
          <w:tcPr>
            <w:tcW w:w="1380" w:type="dxa"/>
            <w:vAlign w:val="center"/>
          </w:tcPr>
          <w:p w14:paraId="69E0A103"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EU-1</w:t>
            </w:r>
          </w:p>
        </w:tc>
        <w:tc>
          <w:tcPr>
            <w:tcW w:w="7659" w:type="dxa"/>
          </w:tcPr>
          <w:p w14:paraId="69E0A104" w14:textId="18BE37B2"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Celkové súvahové expozície (bez derivátov, SFT</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vyňatých expozícií),</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čoho:</w:t>
            </w:r>
          </w:p>
          <w:p w14:paraId="69E0A105" w14:textId="351E6B0E"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súčet súm</w:t>
            </w:r>
            <w:r w:rsidR="00E036ED">
              <w:rPr>
                <w:rFonts w:ascii="Times New Roman" w:hAnsi="Times New Roman"/>
                <w:sz w:val="24"/>
              </w:rPr>
              <w:t xml:space="preserve"> v </w:t>
            </w:r>
            <w:r w:rsidRPr="00E036ED">
              <w:rPr>
                <w:rFonts w:ascii="Times New Roman" w:hAnsi="Times New Roman"/>
                <w:sz w:val="24"/>
              </w:rPr>
              <w:t>riadkoch EU-2</w:t>
            </w:r>
            <w:r w:rsidR="00E036ED">
              <w:rPr>
                <w:rFonts w:ascii="Times New Roman" w:hAnsi="Times New Roman"/>
                <w:sz w:val="24"/>
              </w:rPr>
              <w:t xml:space="preserve"> a </w:t>
            </w:r>
            <w:r w:rsidRPr="00E036ED">
              <w:rPr>
                <w:rFonts w:ascii="Times New Roman" w:hAnsi="Times New Roman"/>
                <w:sz w:val="24"/>
              </w:rPr>
              <w:t>EU-3 vzoru EU LR3 – LRSpl.</w:t>
            </w:r>
          </w:p>
        </w:tc>
      </w:tr>
      <w:tr w:rsidR="002312DE" w:rsidRPr="00E036ED" w14:paraId="69E0A10A" w14:textId="77777777" w:rsidTr="009F3999">
        <w:trPr>
          <w:trHeight w:val="1438"/>
        </w:trPr>
        <w:tc>
          <w:tcPr>
            <w:tcW w:w="1380" w:type="dxa"/>
            <w:vAlign w:val="center"/>
          </w:tcPr>
          <w:p w14:paraId="69E0A107"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EU-2</w:t>
            </w:r>
          </w:p>
        </w:tc>
        <w:tc>
          <w:tcPr>
            <w:tcW w:w="7659" w:type="dxa"/>
          </w:tcPr>
          <w:p w14:paraId="69E0A108" w14:textId="6BEE2A96"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Expozície</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obchodnej knihe</w:t>
            </w:r>
          </w:p>
          <w:p w14:paraId="69E0A109" w14:textId="22ED4AFE"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expozície, ktoré sú súčasťou celkovej hodnoty expozícií aktív patriacich do obchodnej knihy</w:t>
            </w:r>
            <w:r w:rsidR="00E036ED">
              <w:rPr>
                <w:rFonts w:ascii="Times New Roman" w:hAnsi="Times New Roman"/>
                <w:sz w:val="24"/>
              </w:rPr>
              <w:t xml:space="preserve"> s </w:t>
            </w:r>
            <w:r w:rsidRPr="00E036ED">
              <w:rPr>
                <w:rFonts w:ascii="Times New Roman" w:hAnsi="Times New Roman"/>
                <w:sz w:val="24"/>
              </w:rPr>
              <w:t>výnimkou derivátov, SFT</w:t>
            </w:r>
            <w:r w:rsidR="00E036ED">
              <w:rPr>
                <w:rFonts w:ascii="Times New Roman" w:hAnsi="Times New Roman"/>
                <w:sz w:val="24"/>
              </w:rPr>
              <w:t xml:space="preserve"> a </w:t>
            </w:r>
            <w:r w:rsidRPr="00E036ED">
              <w:rPr>
                <w:rFonts w:ascii="Times New Roman" w:hAnsi="Times New Roman"/>
                <w:sz w:val="24"/>
              </w:rPr>
              <w:t>vyňatých expozícií.</w:t>
            </w:r>
          </w:p>
        </w:tc>
      </w:tr>
      <w:tr w:rsidR="002312DE" w:rsidRPr="00E036ED" w14:paraId="69E0A10E" w14:textId="77777777" w:rsidTr="009F3999">
        <w:trPr>
          <w:trHeight w:val="438"/>
        </w:trPr>
        <w:tc>
          <w:tcPr>
            <w:tcW w:w="1380" w:type="dxa"/>
            <w:vAlign w:val="center"/>
          </w:tcPr>
          <w:p w14:paraId="69E0A10B"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EU-3</w:t>
            </w:r>
          </w:p>
        </w:tc>
        <w:tc>
          <w:tcPr>
            <w:tcW w:w="7659" w:type="dxa"/>
          </w:tcPr>
          <w:p w14:paraId="69E0A10C" w14:textId="25AABED6"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Expozície</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bankovej knihe,</w:t>
            </w:r>
            <w:r w:rsidR="00E036ED">
              <w:rPr>
                <w:rStyle w:val="TeksttreciPogrubienie"/>
                <w:rFonts w:ascii="Times New Roman" w:hAnsi="Times New Roman"/>
                <w:color w:val="auto"/>
                <w:sz w:val="24"/>
              </w:rPr>
              <w:t xml:space="preserve"> z </w:t>
            </w:r>
            <w:r w:rsidRPr="00E036ED">
              <w:rPr>
                <w:rStyle w:val="TeksttreciPogrubienie"/>
                <w:rFonts w:ascii="Times New Roman" w:hAnsi="Times New Roman"/>
                <w:color w:val="auto"/>
                <w:sz w:val="24"/>
              </w:rPr>
              <w:t>čoho:</w:t>
            </w:r>
          </w:p>
          <w:p w14:paraId="69E0A10D" w14:textId="71AEC151"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súčet hodnôt</w:t>
            </w:r>
            <w:r w:rsidR="00E036ED">
              <w:rPr>
                <w:rFonts w:ascii="Times New Roman" w:hAnsi="Times New Roman"/>
                <w:sz w:val="24"/>
              </w:rPr>
              <w:t xml:space="preserve"> v </w:t>
            </w:r>
            <w:r w:rsidRPr="00E036ED">
              <w:rPr>
                <w:rFonts w:ascii="Times New Roman" w:hAnsi="Times New Roman"/>
                <w:sz w:val="24"/>
              </w:rPr>
              <w:t>riadkoch EU-4 až EU-12 vzoru EU LR3 – LRSpl.</w:t>
            </w:r>
          </w:p>
        </w:tc>
      </w:tr>
      <w:tr w:rsidR="002312DE" w:rsidRPr="00E036ED" w14:paraId="69E0A113" w14:textId="77777777" w:rsidTr="009F3999">
        <w:trPr>
          <w:trHeight w:val="1956"/>
        </w:trPr>
        <w:tc>
          <w:tcPr>
            <w:tcW w:w="1380" w:type="dxa"/>
            <w:vAlign w:val="center"/>
          </w:tcPr>
          <w:p w14:paraId="69E0A10F"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EU-4</w:t>
            </w:r>
          </w:p>
        </w:tc>
        <w:tc>
          <w:tcPr>
            <w:tcW w:w="7659" w:type="dxa"/>
          </w:tcPr>
          <w:p w14:paraId="69E0A110"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Kryté dlhopisy</w:t>
            </w:r>
          </w:p>
          <w:p w14:paraId="69E0A111" w14:textId="401506C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súčet expozícií, čo je celková hodnota expozícií aktív, ktoré sú vo forme krytých dlhopisov</w:t>
            </w:r>
            <w:r w:rsidR="00E036ED">
              <w:rPr>
                <w:rFonts w:ascii="Times New Roman" w:hAnsi="Times New Roman"/>
                <w:sz w:val="24"/>
              </w:rPr>
              <w:t xml:space="preserve"> v </w:t>
            </w:r>
            <w:r w:rsidRPr="00E036ED">
              <w:rPr>
                <w:rFonts w:ascii="Times New Roman" w:hAnsi="Times New Roman"/>
                <w:sz w:val="24"/>
              </w:rPr>
              <w:t>zmysle vymedzenia</w:t>
            </w:r>
            <w:r w:rsidR="00E036ED">
              <w:rPr>
                <w:rFonts w:ascii="Times New Roman" w:hAnsi="Times New Roman"/>
                <w:sz w:val="24"/>
              </w:rPr>
              <w:t xml:space="preserve"> v </w:t>
            </w:r>
            <w:r w:rsidRPr="00E036ED">
              <w:rPr>
                <w:rFonts w:ascii="Times New Roman" w:hAnsi="Times New Roman"/>
                <w:sz w:val="24"/>
              </w:rPr>
              <w:t>článku 129</w:t>
            </w:r>
            <w:r w:rsidR="00E036ED">
              <w:rPr>
                <w:rFonts w:ascii="Times New Roman" w:hAnsi="Times New Roman"/>
                <w:sz w:val="24"/>
              </w:rPr>
              <w:t xml:space="preserve"> a </w:t>
            </w:r>
            <w:r w:rsidRPr="00E036ED">
              <w:rPr>
                <w:rFonts w:ascii="Times New Roman" w:hAnsi="Times New Roman"/>
                <w:sz w:val="24"/>
              </w:rPr>
              <w:t xml:space="preserve">článku 161 ods. 1 písm. d) nariadenia (EÚ) </w:t>
            </w:r>
            <w:r w:rsidR="00E036ED">
              <w:rPr>
                <w:rFonts w:ascii="Times New Roman" w:hAnsi="Times New Roman"/>
                <w:sz w:val="24"/>
              </w:rPr>
              <w:t>č. </w:t>
            </w:r>
            <w:r w:rsidRPr="00E036ED">
              <w:rPr>
                <w:rFonts w:ascii="Times New Roman" w:hAnsi="Times New Roman"/>
                <w:sz w:val="24"/>
              </w:rPr>
              <w:t>575/2013.</w:t>
            </w:r>
          </w:p>
          <w:p w14:paraId="69E0A112" w14:textId="2FB52F5A" w:rsidR="00646595" w:rsidRPr="00E036ED" w:rsidRDefault="00646595" w:rsidP="00E9371F">
            <w:pPr>
              <w:pStyle w:val="BodyText1"/>
              <w:spacing w:after="120" w:line="240" w:lineRule="auto"/>
              <w:rPr>
                <w:rFonts w:ascii="Times New Roman" w:hAnsi="Times New Roman"/>
                <w:bCs/>
                <w:color w:val="auto"/>
                <w:sz w:val="24"/>
                <w:szCs w:val="24"/>
              </w:rPr>
            </w:pPr>
            <w:r w:rsidRPr="00E036ED">
              <w:rPr>
                <w:rFonts w:ascii="Times New Roman" w:hAnsi="Times New Roman"/>
                <w:color w:val="auto"/>
                <w:sz w:val="24"/>
              </w:rPr>
              <w:t>Inštitúcie zverejňujú celkovú expozíciu voči krytým dlhopisom po odpočítaní expozícií</w:t>
            </w:r>
            <w:r w:rsidR="00E036ED">
              <w:rPr>
                <w:rFonts w:ascii="Times New Roman" w:hAnsi="Times New Roman"/>
                <w:color w:val="auto"/>
                <w:sz w:val="24"/>
              </w:rPr>
              <w:t xml:space="preserve"> v </w:t>
            </w:r>
            <w:r w:rsidRPr="00E036ED">
              <w:rPr>
                <w:rFonts w:ascii="Times New Roman" w:hAnsi="Times New Roman"/>
                <w:color w:val="auto"/>
                <w:sz w:val="24"/>
              </w:rPr>
              <w:t>stave zlyhania.</w:t>
            </w:r>
          </w:p>
        </w:tc>
      </w:tr>
      <w:tr w:rsidR="002312DE" w:rsidRPr="00E036ED" w14:paraId="69E0A118" w14:textId="77777777" w:rsidTr="009F3999">
        <w:trPr>
          <w:trHeight w:val="2265"/>
        </w:trPr>
        <w:tc>
          <w:tcPr>
            <w:tcW w:w="1380" w:type="dxa"/>
            <w:vAlign w:val="center"/>
          </w:tcPr>
          <w:p w14:paraId="69E0A114"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EU-5</w:t>
            </w:r>
          </w:p>
        </w:tc>
        <w:tc>
          <w:tcPr>
            <w:tcW w:w="7659" w:type="dxa"/>
          </w:tcPr>
          <w:p w14:paraId="69E0A115" w14:textId="0A925554"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Expozície,</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ktorými sa zaobchádza ako so štátmi</w:t>
            </w:r>
          </w:p>
          <w:p w14:paraId="69E0A116" w14:textId="390E375A" w:rsidR="00646595" w:rsidRPr="00E036ED"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súčet expozícií, čo je celková hodnota expozícií voči subjektom,</w:t>
            </w:r>
            <w:r w:rsidR="00E036ED">
              <w:rPr>
                <w:rFonts w:ascii="Times New Roman" w:hAnsi="Times New Roman"/>
                <w:sz w:val="24"/>
              </w:rPr>
              <w:t xml:space="preserve"> s </w:t>
            </w:r>
            <w:r w:rsidRPr="00E036ED">
              <w:rPr>
                <w:rFonts w:ascii="Times New Roman" w:hAnsi="Times New Roman"/>
                <w:sz w:val="24"/>
              </w:rPr>
              <w:t xml:space="preserve">ktorými sa podľa nariadenia (EÚ) </w:t>
            </w:r>
            <w:r w:rsidR="00E036ED">
              <w:rPr>
                <w:rFonts w:ascii="Times New Roman" w:hAnsi="Times New Roman"/>
                <w:sz w:val="24"/>
              </w:rPr>
              <w:t>č. </w:t>
            </w:r>
            <w:r w:rsidRPr="00E036ED">
              <w:rPr>
                <w:rFonts w:ascii="Times New Roman" w:hAnsi="Times New Roman"/>
                <w:sz w:val="24"/>
              </w:rPr>
              <w:t>575/2013 zaobchádza ako so štátmi. [Ústredné vlády</w:t>
            </w:r>
            <w:r w:rsidR="00E036ED">
              <w:rPr>
                <w:rFonts w:ascii="Times New Roman" w:hAnsi="Times New Roman"/>
                <w:sz w:val="24"/>
              </w:rPr>
              <w:t xml:space="preserve"> a </w:t>
            </w:r>
            <w:r w:rsidRPr="00E036ED">
              <w:rPr>
                <w:rFonts w:ascii="Times New Roman" w:hAnsi="Times New Roman"/>
                <w:sz w:val="24"/>
              </w:rPr>
              <w:t>centrálne banky – článok 114</w:t>
            </w:r>
            <w:r w:rsidR="00E036ED">
              <w:rPr>
                <w:rFonts w:ascii="Times New Roman" w:hAnsi="Times New Roman"/>
                <w:sz w:val="24"/>
              </w:rPr>
              <w:t xml:space="preserve"> a </w:t>
            </w:r>
            <w:r w:rsidRPr="00E036ED">
              <w:rPr>
                <w:rFonts w:ascii="Times New Roman" w:hAnsi="Times New Roman"/>
                <w:sz w:val="24"/>
              </w:rPr>
              <w:t xml:space="preserve">článok 147 ods. 2 písm. a) nariadenia (EÚ) </w:t>
            </w:r>
            <w:r w:rsidR="00E036ED">
              <w:rPr>
                <w:rFonts w:ascii="Times New Roman" w:hAnsi="Times New Roman"/>
                <w:sz w:val="24"/>
              </w:rPr>
              <w:t>č. </w:t>
            </w:r>
            <w:r w:rsidRPr="00E036ED">
              <w:rPr>
                <w:rFonts w:ascii="Times New Roman" w:hAnsi="Times New Roman"/>
                <w:sz w:val="24"/>
              </w:rPr>
              <w:t>575/2013]; voči regionálnym vládam</w:t>
            </w:r>
            <w:r w:rsidR="00E036ED">
              <w:rPr>
                <w:rFonts w:ascii="Times New Roman" w:hAnsi="Times New Roman"/>
                <w:sz w:val="24"/>
              </w:rPr>
              <w:t xml:space="preserve"> a </w:t>
            </w:r>
            <w:r w:rsidRPr="00E036ED">
              <w:rPr>
                <w:rFonts w:ascii="Times New Roman" w:hAnsi="Times New Roman"/>
                <w:sz w:val="24"/>
              </w:rPr>
              <w:t>miestnym orgánom,</w:t>
            </w:r>
            <w:r w:rsidR="00E036ED">
              <w:rPr>
                <w:rFonts w:ascii="Times New Roman" w:hAnsi="Times New Roman"/>
                <w:sz w:val="24"/>
              </w:rPr>
              <w:t xml:space="preserve"> s </w:t>
            </w:r>
            <w:r w:rsidRPr="00E036ED">
              <w:rPr>
                <w:rFonts w:ascii="Times New Roman" w:hAnsi="Times New Roman"/>
                <w:sz w:val="24"/>
              </w:rPr>
              <w:t>ktorými sa zaobchádza ako so štátmi [článok 115 ods. 2</w:t>
            </w:r>
            <w:r w:rsidR="00E036ED">
              <w:rPr>
                <w:rFonts w:ascii="Times New Roman" w:hAnsi="Times New Roman"/>
                <w:sz w:val="24"/>
              </w:rPr>
              <w:t xml:space="preserve"> a </w:t>
            </w:r>
            <w:r w:rsidRPr="00E036ED">
              <w:rPr>
                <w:rFonts w:ascii="Times New Roman" w:hAnsi="Times New Roman"/>
                <w:sz w:val="24"/>
              </w:rPr>
              <w:t>4</w:t>
            </w:r>
            <w:r w:rsidR="00E036ED">
              <w:rPr>
                <w:rFonts w:ascii="Times New Roman" w:hAnsi="Times New Roman"/>
                <w:sz w:val="24"/>
              </w:rPr>
              <w:t xml:space="preserve"> a </w:t>
            </w:r>
            <w:r w:rsidRPr="00E036ED">
              <w:rPr>
                <w:rFonts w:ascii="Times New Roman" w:hAnsi="Times New Roman"/>
                <w:sz w:val="24"/>
              </w:rPr>
              <w:t xml:space="preserve">článok 147 ods. 3 písm. a) nariadenia (EÚ) </w:t>
            </w:r>
            <w:r w:rsidR="00E036ED">
              <w:rPr>
                <w:rFonts w:ascii="Times New Roman" w:hAnsi="Times New Roman"/>
                <w:sz w:val="24"/>
              </w:rPr>
              <w:t>č. </w:t>
            </w:r>
            <w:r w:rsidRPr="00E036ED">
              <w:rPr>
                <w:rFonts w:ascii="Times New Roman" w:hAnsi="Times New Roman"/>
                <w:sz w:val="24"/>
              </w:rPr>
              <w:t>575/2013], multilaterálnym rozvojovým bankám</w:t>
            </w:r>
            <w:r w:rsidR="00E036ED">
              <w:rPr>
                <w:rFonts w:ascii="Times New Roman" w:hAnsi="Times New Roman"/>
                <w:sz w:val="24"/>
              </w:rPr>
              <w:t xml:space="preserve"> a </w:t>
            </w:r>
            <w:r w:rsidRPr="00E036ED">
              <w:rPr>
                <w:rFonts w:ascii="Times New Roman" w:hAnsi="Times New Roman"/>
                <w:sz w:val="24"/>
              </w:rPr>
              <w:t>medzinárodným organizáciám,</w:t>
            </w:r>
            <w:r w:rsidR="00E036ED">
              <w:rPr>
                <w:rFonts w:ascii="Times New Roman" w:hAnsi="Times New Roman"/>
                <w:sz w:val="24"/>
              </w:rPr>
              <w:t xml:space="preserve"> s </w:t>
            </w:r>
            <w:r w:rsidRPr="00E036ED">
              <w:rPr>
                <w:rFonts w:ascii="Times New Roman" w:hAnsi="Times New Roman"/>
                <w:sz w:val="24"/>
              </w:rPr>
              <w:t>ktorými sa zaobchádza ako so štátmi [článok 117 ods. 2, článok 118</w:t>
            </w:r>
            <w:r w:rsidR="00E036ED">
              <w:rPr>
                <w:rFonts w:ascii="Times New Roman" w:hAnsi="Times New Roman"/>
                <w:sz w:val="24"/>
              </w:rPr>
              <w:t xml:space="preserve"> a </w:t>
            </w:r>
            <w:r w:rsidRPr="00E036ED">
              <w:rPr>
                <w:rFonts w:ascii="Times New Roman" w:hAnsi="Times New Roman"/>
                <w:sz w:val="24"/>
              </w:rPr>
              <w:t>článok 147 ods. 3 písm. b)</w:t>
            </w:r>
            <w:r w:rsidR="00E036ED">
              <w:rPr>
                <w:rFonts w:ascii="Times New Roman" w:hAnsi="Times New Roman"/>
                <w:sz w:val="24"/>
              </w:rPr>
              <w:t xml:space="preserve"> a </w:t>
            </w:r>
            <w:r w:rsidRPr="00E036ED">
              <w:rPr>
                <w:rFonts w:ascii="Times New Roman" w:hAnsi="Times New Roman"/>
                <w:sz w:val="24"/>
              </w:rPr>
              <w:t xml:space="preserve">c) nariadenia (EÚ) </w:t>
            </w:r>
            <w:r w:rsidR="00E036ED">
              <w:rPr>
                <w:rFonts w:ascii="Times New Roman" w:hAnsi="Times New Roman"/>
                <w:sz w:val="24"/>
              </w:rPr>
              <w:t>č. </w:t>
            </w:r>
            <w:r w:rsidRPr="00E036ED">
              <w:rPr>
                <w:rFonts w:ascii="Times New Roman" w:hAnsi="Times New Roman"/>
                <w:sz w:val="24"/>
              </w:rPr>
              <w:t>575/2013], subjektom verejného sektora [článok 116 ods. 4</w:t>
            </w:r>
            <w:r w:rsidR="00E036ED">
              <w:rPr>
                <w:rFonts w:ascii="Times New Roman" w:hAnsi="Times New Roman"/>
                <w:sz w:val="24"/>
              </w:rPr>
              <w:t xml:space="preserve"> a </w:t>
            </w:r>
            <w:r w:rsidRPr="00E036ED">
              <w:rPr>
                <w:rFonts w:ascii="Times New Roman" w:hAnsi="Times New Roman"/>
                <w:sz w:val="24"/>
              </w:rPr>
              <w:t xml:space="preserve">článok 147 ods. 3 písm. a) nariadenia (EÚ) </w:t>
            </w:r>
            <w:r w:rsidR="00E036ED">
              <w:rPr>
                <w:rFonts w:ascii="Times New Roman" w:hAnsi="Times New Roman"/>
                <w:sz w:val="24"/>
              </w:rPr>
              <w:t>č. </w:t>
            </w:r>
            <w:r w:rsidRPr="00E036ED">
              <w:rPr>
                <w:rFonts w:ascii="Times New Roman" w:hAnsi="Times New Roman"/>
                <w:sz w:val="24"/>
              </w:rPr>
              <w:t>575/2013].</w:t>
            </w:r>
          </w:p>
          <w:p w14:paraId="69E0A117" w14:textId="238E7F6C" w:rsidR="00646595" w:rsidRPr="00E036ED" w:rsidRDefault="00646595" w:rsidP="00E9371F">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Inštitúcie zverejňujú celkovú expozíciu voči štátom po odpočítaní expozícií</w:t>
            </w:r>
            <w:r w:rsidR="00E036ED">
              <w:rPr>
                <w:rFonts w:ascii="Times New Roman" w:hAnsi="Times New Roman"/>
                <w:color w:val="auto"/>
                <w:sz w:val="24"/>
              </w:rPr>
              <w:t xml:space="preserve"> v </w:t>
            </w:r>
            <w:r w:rsidRPr="00E036ED">
              <w:rPr>
                <w:rFonts w:ascii="Times New Roman" w:hAnsi="Times New Roman"/>
                <w:color w:val="auto"/>
                <w:sz w:val="24"/>
              </w:rPr>
              <w:t>stave zlyhania.</w:t>
            </w:r>
          </w:p>
        </w:tc>
      </w:tr>
      <w:tr w:rsidR="002312DE" w:rsidRPr="00E036ED" w14:paraId="69E0A11D" w14:textId="77777777" w:rsidTr="009F3999">
        <w:trPr>
          <w:trHeight w:val="1121"/>
        </w:trPr>
        <w:tc>
          <w:tcPr>
            <w:tcW w:w="1380" w:type="dxa"/>
            <w:vAlign w:val="center"/>
          </w:tcPr>
          <w:p w14:paraId="69E0A119"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EU-6</w:t>
            </w:r>
          </w:p>
        </w:tc>
        <w:tc>
          <w:tcPr>
            <w:tcW w:w="7659" w:type="dxa"/>
          </w:tcPr>
          <w:p w14:paraId="69E0A11A" w14:textId="1ABD6FF8"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Expozície voči regionálnym vládam, multilaterálnym rozvojovým bankám, medzinárodným organizáciám</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subjektom verejného sektora,</w:t>
            </w:r>
            <w:r w:rsidR="00E036ED">
              <w:rPr>
                <w:rStyle w:val="TeksttreciPogrubienie"/>
                <w:rFonts w:ascii="Times New Roman" w:hAnsi="Times New Roman"/>
                <w:color w:val="auto"/>
                <w:sz w:val="24"/>
              </w:rPr>
              <w:t xml:space="preserve"> s </w:t>
            </w:r>
            <w:r w:rsidRPr="00E036ED">
              <w:rPr>
                <w:rStyle w:val="TeksttreciPogrubienie"/>
                <w:rFonts w:ascii="Times New Roman" w:hAnsi="Times New Roman"/>
                <w:color w:val="auto"/>
                <w:sz w:val="24"/>
              </w:rPr>
              <w:t>ktorými sa nezaobchádza ako so štátmi</w:t>
            </w:r>
          </w:p>
          <w:p w14:paraId="69E0A11B" w14:textId="116E9311" w:rsidR="00646595" w:rsidRPr="00E036ED" w:rsidRDefault="00646595" w:rsidP="17C07D06">
            <w:pPr>
              <w:pStyle w:val="BodyText1"/>
              <w:spacing w:after="120" w:line="240" w:lineRule="auto"/>
              <w:rPr>
                <w:rFonts w:ascii="Times New Roman" w:eastAsia="Book Antiqua" w:hAnsi="Times New Roman"/>
                <w:color w:val="auto"/>
                <w:sz w:val="24"/>
                <w:szCs w:val="24"/>
              </w:rPr>
            </w:pPr>
            <w:r w:rsidRPr="00E036ED">
              <w:rPr>
                <w:rFonts w:ascii="Times New Roman" w:hAnsi="Times New Roman"/>
                <w:color w:val="auto"/>
                <w:sz w:val="24"/>
              </w:rPr>
              <w:t>Inštitúcie zverejňujú súčet expozícií, čo je celková hodnota expozície voči regionálnym vládam</w:t>
            </w:r>
            <w:r w:rsidR="00E036ED">
              <w:rPr>
                <w:rFonts w:ascii="Times New Roman" w:hAnsi="Times New Roman"/>
                <w:color w:val="auto"/>
                <w:sz w:val="24"/>
              </w:rPr>
              <w:t xml:space="preserve"> a </w:t>
            </w:r>
            <w:r w:rsidRPr="00E036ED">
              <w:rPr>
                <w:rFonts w:ascii="Times New Roman" w:hAnsi="Times New Roman"/>
                <w:color w:val="auto"/>
                <w:sz w:val="24"/>
              </w:rPr>
              <w:t>miestnym orgánom</w:t>
            </w:r>
            <w:r w:rsidR="00E036ED">
              <w:rPr>
                <w:rFonts w:ascii="Times New Roman" w:hAnsi="Times New Roman"/>
                <w:color w:val="auto"/>
                <w:sz w:val="24"/>
              </w:rPr>
              <w:t xml:space="preserve"> v </w:t>
            </w:r>
            <w:r w:rsidRPr="00E036ED">
              <w:rPr>
                <w:rFonts w:ascii="Times New Roman" w:hAnsi="Times New Roman"/>
                <w:color w:val="auto"/>
                <w:sz w:val="24"/>
              </w:rPr>
              <w:t>zmysle vymedzenia</w:t>
            </w:r>
            <w:r w:rsidR="00E036ED">
              <w:rPr>
                <w:rFonts w:ascii="Times New Roman" w:hAnsi="Times New Roman"/>
                <w:color w:val="auto"/>
                <w:sz w:val="24"/>
              </w:rPr>
              <w:t xml:space="preserve"> v </w:t>
            </w:r>
            <w:r w:rsidRPr="00E036ED">
              <w:rPr>
                <w:rFonts w:ascii="Times New Roman" w:hAnsi="Times New Roman"/>
                <w:color w:val="auto"/>
                <w:sz w:val="24"/>
              </w:rPr>
              <w:t>článku 115 ods. 1, 3</w:t>
            </w:r>
            <w:r w:rsidR="00E036ED">
              <w:rPr>
                <w:rFonts w:ascii="Times New Roman" w:hAnsi="Times New Roman"/>
                <w:color w:val="auto"/>
                <w:sz w:val="24"/>
              </w:rPr>
              <w:t xml:space="preserve"> a </w:t>
            </w:r>
            <w:r w:rsidRPr="00E036ED">
              <w:rPr>
                <w:rFonts w:ascii="Times New Roman" w:hAnsi="Times New Roman"/>
                <w:color w:val="auto"/>
                <w:sz w:val="24"/>
              </w:rPr>
              <w:t xml:space="preserve">5 nariadenia (EÚ) </w:t>
            </w:r>
            <w:r w:rsidR="00E036ED">
              <w:rPr>
                <w:rFonts w:ascii="Times New Roman" w:hAnsi="Times New Roman"/>
                <w:color w:val="auto"/>
                <w:sz w:val="24"/>
              </w:rPr>
              <w:t>č. </w:t>
            </w:r>
            <w:r w:rsidRPr="00E036ED">
              <w:rPr>
                <w:rFonts w:ascii="Times New Roman" w:hAnsi="Times New Roman"/>
                <w:color w:val="auto"/>
                <w:sz w:val="24"/>
              </w:rPr>
              <w:t>575/2013 pre expozície podľa SA</w:t>
            </w:r>
            <w:r w:rsidR="00E036ED">
              <w:rPr>
                <w:rFonts w:ascii="Times New Roman" w:hAnsi="Times New Roman"/>
                <w:color w:val="auto"/>
                <w:sz w:val="24"/>
              </w:rPr>
              <w:t xml:space="preserve"> a v </w:t>
            </w:r>
            <w:r w:rsidRPr="00E036ED">
              <w:rPr>
                <w:rFonts w:ascii="Times New Roman" w:hAnsi="Times New Roman"/>
                <w:color w:val="auto"/>
                <w:sz w:val="24"/>
              </w:rPr>
              <w:t xml:space="preserve">článku 147 ods. 4 písm. a) nariadenia (EÚ) </w:t>
            </w:r>
            <w:r w:rsidR="00E036ED">
              <w:rPr>
                <w:rFonts w:ascii="Times New Roman" w:hAnsi="Times New Roman"/>
                <w:color w:val="auto"/>
                <w:sz w:val="24"/>
              </w:rPr>
              <w:t>č. </w:t>
            </w:r>
            <w:r w:rsidRPr="00E036ED">
              <w:rPr>
                <w:rFonts w:ascii="Times New Roman" w:hAnsi="Times New Roman"/>
                <w:color w:val="auto"/>
                <w:sz w:val="24"/>
              </w:rPr>
              <w:t>575/2013 pre expozície podľa IRB; voči multilaterálnym rozvojovým bankám</w:t>
            </w:r>
            <w:r w:rsidR="00E036ED">
              <w:rPr>
                <w:rFonts w:ascii="Times New Roman" w:hAnsi="Times New Roman"/>
                <w:color w:val="auto"/>
                <w:sz w:val="24"/>
              </w:rPr>
              <w:t xml:space="preserve"> v </w:t>
            </w:r>
            <w:r w:rsidRPr="00E036ED">
              <w:rPr>
                <w:rFonts w:ascii="Times New Roman" w:hAnsi="Times New Roman"/>
                <w:color w:val="auto"/>
                <w:sz w:val="24"/>
              </w:rPr>
              <w:t>zmysle vymedzenia</w:t>
            </w:r>
            <w:r w:rsidR="00E036ED">
              <w:rPr>
                <w:rFonts w:ascii="Times New Roman" w:hAnsi="Times New Roman"/>
                <w:color w:val="auto"/>
                <w:sz w:val="24"/>
              </w:rPr>
              <w:t xml:space="preserve"> v </w:t>
            </w:r>
            <w:r w:rsidRPr="00E036ED">
              <w:rPr>
                <w:rFonts w:ascii="Times New Roman" w:hAnsi="Times New Roman"/>
                <w:color w:val="auto"/>
                <w:sz w:val="24"/>
              </w:rPr>
              <w:t>článku 117 ods. 1</w:t>
            </w:r>
            <w:r w:rsidR="00E036ED">
              <w:rPr>
                <w:rFonts w:ascii="Times New Roman" w:hAnsi="Times New Roman"/>
                <w:color w:val="auto"/>
                <w:sz w:val="24"/>
              </w:rPr>
              <w:t xml:space="preserve"> a </w:t>
            </w:r>
            <w:r w:rsidRPr="00E036ED">
              <w:rPr>
                <w:rFonts w:ascii="Times New Roman" w:hAnsi="Times New Roman"/>
                <w:color w:val="auto"/>
                <w:sz w:val="24"/>
              </w:rPr>
              <w:t xml:space="preserve">3 nariadenia (EÚ) </w:t>
            </w:r>
            <w:r w:rsidR="00E036ED">
              <w:rPr>
                <w:rFonts w:ascii="Times New Roman" w:hAnsi="Times New Roman"/>
                <w:color w:val="auto"/>
                <w:sz w:val="24"/>
              </w:rPr>
              <w:t>č. </w:t>
            </w:r>
            <w:r w:rsidRPr="00E036ED">
              <w:rPr>
                <w:rFonts w:ascii="Times New Roman" w:hAnsi="Times New Roman"/>
                <w:color w:val="auto"/>
                <w:sz w:val="24"/>
              </w:rPr>
              <w:t>575/2013 pre expozície podľa SA</w:t>
            </w:r>
            <w:r w:rsidR="00E036ED">
              <w:rPr>
                <w:rFonts w:ascii="Times New Roman" w:hAnsi="Times New Roman"/>
                <w:color w:val="auto"/>
                <w:sz w:val="24"/>
              </w:rPr>
              <w:t xml:space="preserve"> a v </w:t>
            </w:r>
            <w:r w:rsidRPr="00E036ED">
              <w:rPr>
                <w:rFonts w:ascii="Times New Roman" w:hAnsi="Times New Roman"/>
                <w:color w:val="auto"/>
                <w:sz w:val="24"/>
              </w:rPr>
              <w:t xml:space="preserve">článku 147 ods. 4 písm. c) nariadenia (EÚ) </w:t>
            </w:r>
            <w:r w:rsidR="00E036ED">
              <w:rPr>
                <w:rFonts w:ascii="Times New Roman" w:hAnsi="Times New Roman"/>
                <w:color w:val="auto"/>
                <w:sz w:val="24"/>
              </w:rPr>
              <w:t>č. </w:t>
            </w:r>
            <w:r w:rsidRPr="00E036ED">
              <w:rPr>
                <w:rFonts w:ascii="Times New Roman" w:hAnsi="Times New Roman"/>
                <w:color w:val="auto"/>
                <w:sz w:val="24"/>
              </w:rPr>
              <w:t>575/2013 pre expozície podľa IRB; voči medzinárodným organizáciám</w:t>
            </w:r>
            <w:r w:rsidR="00E036ED">
              <w:rPr>
                <w:rFonts w:ascii="Times New Roman" w:hAnsi="Times New Roman"/>
                <w:color w:val="auto"/>
                <w:sz w:val="24"/>
              </w:rPr>
              <w:t xml:space="preserve"> a </w:t>
            </w:r>
            <w:r w:rsidRPr="00E036ED">
              <w:rPr>
                <w:rFonts w:ascii="Times New Roman" w:hAnsi="Times New Roman"/>
                <w:color w:val="auto"/>
                <w:sz w:val="24"/>
              </w:rPr>
              <w:t>subjektom verejného sektora</w:t>
            </w:r>
            <w:r w:rsidR="00E036ED">
              <w:rPr>
                <w:rFonts w:ascii="Times New Roman" w:hAnsi="Times New Roman"/>
                <w:color w:val="auto"/>
                <w:sz w:val="24"/>
              </w:rPr>
              <w:t xml:space="preserve"> v </w:t>
            </w:r>
            <w:r w:rsidRPr="00E036ED">
              <w:rPr>
                <w:rFonts w:ascii="Times New Roman" w:hAnsi="Times New Roman"/>
                <w:color w:val="auto"/>
                <w:sz w:val="24"/>
              </w:rPr>
              <w:t>zmysle vymedzenia</w:t>
            </w:r>
            <w:r w:rsidR="00E036ED">
              <w:rPr>
                <w:rFonts w:ascii="Times New Roman" w:hAnsi="Times New Roman"/>
                <w:color w:val="auto"/>
                <w:sz w:val="24"/>
              </w:rPr>
              <w:t xml:space="preserve"> v </w:t>
            </w:r>
            <w:r w:rsidRPr="00E036ED">
              <w:rPr>
                <w:rFonts w:ascii="Times New Roman" w:hAnsi="Times New Roman"/>
                <w:color w:val="auto"/>
                <w:sz w:val="24"/>
              </w:rPr>
              <w:t>článku 116 ods. 1, 2, 3</w:t>
            </w:r>
            <w:r w:rsidR="00E036ED">
              <w:rPr>
                <w:rFonts w:ascii="Times New Roman" w:hAnsi="Times New Roman"/>
                <w:color w:val="auto"/>
                <w:sz w:val="24"/>
              </w:rPr>
              <w:t xml:space="preserve"> a </w:t>
            </w:r>
            <w:r w:rsidRPr="00E036ED">
              <w:rPr>
                <w:rFonts w:ascii="Times New Roman" w:hAnsi="Times New Roman"/>
                <w:color w:val="auto"/>
                <w:sz w:val="24"/>
              </w:rPr>
              <w:t xml:space="preserve">5 nariadenia (EÚ) </w:t>
            </w:r>
            <w:r w:rsidR="00E036ED">
              <w:rPr>
                <w:rFonts w:ascii="Times New Roman" w:hAnsi="Times New Roman"/>
                <w:color w:val="auto"/>
                <w:sz w:val="24"/>
              </w:rPr>
              <w:t>č. </w:t>
            </w:r>
            <w:r w:rsidRPr="00E036ED">
              <w:rPr>
                <w:rFonts w:ascii="Times New Roman" w:hAnsi="Times New Roman"/>
                <w:color w:val="auto"/>
                <w:sz w:val="24"/>
              </w:rPr>
              <w:t>575/2013 pre expozície podľa SA</w:t>
            </w:r>
            <w:r w:rsidR="00E036ED">
              <w:rPr>
                <w:rFonts w:ascii="Times New Roman" w:hAnsi="Times New Roman"/>
                <w:color w:val="auto"/>
                <w:sz w:val="24"/>
              </w:rPr>
              <w:t xml:space="preserve"> a v </w:t>
            </w:r>
            <w:r w:rsidRPr="00E036ED">
              <w:rPr>
                <w:rFonts w:ascii="Times New Roman" w:hAnsi="Times New Roman"/>
                <w:color w:val="auto"/>
                <w:sz w:val="24"/>
              </w:rPr>
              <w:t xml:space="preserve">článku 147 ods. 4 písm. b) nariadenia (EÚ) </w:t>
            </w:r>
            <w:r w:rsidR="00E036ED">
              <w:rPr>
                <w:rFonts w:ascii="Times New Roman" w:hAnsi="Times New Roman"/>
                <w:color w:val="auto"/>
                <w:sz w:val="24"/>
              </w:rPr>
              <w:t>č. </w:t>
            </w:r>
            <w:r w:rsidRPr="00E036ED">
              <w:rPr>
                <w:rFonts w:ascii="Times New Roman" w:hAnsi="Times New Roman"/>
                <w:color w:val="auto"/>
                <w:sz w:val="24"/>
              </w:rPr>
              <w:t>575/2013 pre expozície podľa IRB,</w:t>
            </w:r>
            <w:r w:rsidR="00E036ED">
              <w:rPr>
                <w:rFonts w:ascii="Times New Roman" w:hAnsi="Times New Roman"/>
                <w:color w:val="auto"/>
                <w:sz w:val="24"/>
              </w:rPr>
              <w:t xml:space="preserve"> s </w:t>
            </w:r>
            <w:r w:rsidRPr="00E036ED">
              <w:rPr>
                <w:rFonts w:ascii="Times New Roman" w:hAnsi="Times New Roman"/>
                <w:color w:val="auto"/>
                <w:sz w:val="24"/>
              </w:rPr>
              <w:t xml:space="preserve">ktorými sa podľa nariadenia (EÚ) </w:t>
            </w:r>
            <w:r w:rsidR="00E036ED">
              <w:rPr>
                <w:rFonts w:ascii="Times New Roman" w:hAnsi="Times New Roman"/>
                <w:color w:val="auto"/>
                <w:sz w:val="24"/>
              </w:rPr>
              <w:t>č. </w:t>
            </w:r>
            <w:r w:rsidRPr="00E036ED">
              <w:rPr>
                <w:rFonts w:ascii="Times New Roman" w:hAnsi="Times New Roman"/>
                <w:color w:val="auto"/>
                <w:sz w:val="24"/>
              </w:rPr>
              <w:t>575/2013 nezaobchádza ako so štátmi.</w:t>
            </w:r>
          </w:p>
          <w:p w14:paraId="69E0A11C" w14:textId="37700F0D" w:rsidR="00646595" w:rsidRPr="00E036ED" w:rsidRDefault="00646595" w:rsidP="00E9371F">
            <w:pPr>
              <w:pStyle w:val="BodyText1"/>
              <w:spacing w:after="120" w:line="240" w:lineRule="auto"/>
              <w:rPr>
                <w:rFonts w:ascii="Times New Roman" w:hAnsi="Times New Roman"/>
                <w:bCs/>
                <w:color w:val="auto"/>
                <w:sz w:val="24"/>
                <w:szCs w:val="24"/>
              </w:rPr>
            </w:pPr>
            <w:r w:rsidRPr="00E036ED">
              <w:rPr>
                <w:rFonts w:ascii="Times New Roman" w:hAnsi="Times New Roman"/>
                <w:color w:val="auto"/>
                <w:sz w:val="24"/>
              </w:rPr>
              <w:t>Inštitúcie zverejňujú vyššie uvedenú celkovú expozíciu po odpočítaní expozícií</w:t>
            </w:r>
            <w:r w:rsidR="00E036ED">
              <w:rPr>
                <w:rFonts w:ascii="Times New Roman" w:hAnsi="Times New Roman"/>
                <w:color w:val="auto"/>
                <w:sz w:val="24"/>
              </w:rPr>
              <w:t xml:space="preserve"> v </w:t>
            </w:r>
            <w:r w:rsidRPr="00E036ED">
              <w:rPr>
                <w:rFonts w:ascii="Times New Roman" w:hAnsi="Times New Roman"/>
                <w:color w:val="auto"/>
                <w:sz w:val="24"/>
              </w:rPr>
              <w:t>stave zlyhania.</w:t>
            </w:r>
          </w:p>
        </w:tc>
      </w:tr>
      <w:tr w:rsidR="002312DE" w:rsidRPr="00E036ED" w14:paraId="69E0A122" w14:textId="77777777" w:rsidTr="009F3999">
        <w:trPr>
          <w:trHeight w:val="416"/>
        </w:trPr>
        <w:tc>
          <w:tcPr>
            <w:tcW w:w="1380" w:type="dxa"/>
            <w:vAlign w:val="center"/>
          </w:tcPr>
          <w:p w14:paraId="69E0A11E"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EU-7</w:t>
            </w:r>
          </w:p>
        </w:tc>
        <w:tc>
          <w:tcPr>
            <w:tcW w:w="7659" w:type="dxa"/>
          </w:tcPr>
          <w:p w14:paraId="69E0A11F"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Inštitúcie</w:t>
            </w:r>
          </w:p>
          <w:p w14:paraId="69E0A120" w14:textId="50211708" w:rsidR="00646595" w:rsidRPr="00E036ED"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sidRPr="00E036ED">
              <w:rPr>
                <w:rFonts w:ascii="Times New Roman" w:hAnsi="Times New Roman"/>
                <w:sz w:val="24"/>
              </w:rPr>
              <w:t xml:space="preserve">Inštitúcie zverejňujú súčet expozícií, čo je hodnota expozícií voči inštitúciám, na ktoré sa vzťahujú články 119 až 121 nariadenia (EÚ) </w:t>
            </w:r>
            <w:r w:rsidR="00E036ED">
              <w:rPr>
                <w:rFonts w:ascii="Times New Roman" w:hAnsi="Times New Roman"/>
                <w:sz w:val="24"/>
              </w:rPr>
              <w:t>č. </w:t>
            </w:r>
            <w:r w:rsidRPr="00E036ED">
              <w:rPr>
                <w:rFonts w:ascii="Times New Roman" w:hAnsi="Times New Roman"/>
                <w:sz w:val="24"/>
              </w:rPr>
              <w:t>575/2013 pre expozície podľa SA</w:t>
            </w:r>
            <w:r w:rsidR="00E036ED">
              <w:rPr>
                <w:rFonts w:ascii="Times New Roman" w:hAnsi="Times New Roman"/>
                <w:sz w:val="24"/>
              </w:rPr>
              <w:t xml:space="preserve"> a </w:t>
            </w:r>
            <w:r w:rsidRPr="00E036ED">
              <w:rPr>
                <w:rFonts w:ascii="Times New Roman" w:hAnsi="Times New Roman"/>
                <w:sz w:val="24"/>
              </w:rPr>
              <w:t xml:space="preserve">pre expozície podľa IRB – na ktoré sa vzťahuje článok 147 ods. 2 písm. b)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w:t>
            </w:r>
            <w:r w:rsidRPr="00E036ED">
              <w:rPr>
                <w:rFonts w:ascii="Times New Roman" w:hAnsi="Times New Roman"/>
                <w:sz w:val="24"/>
              </w:rPr>
              <w:t xml:space="preserve">nie sú expozíciami vo forme krytých dlhopisov podľa článku 161 ods. 1 písm. d)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w:t>
            </w:r>
            <w:r w:rsidRPr="00E036ED">
              <w:rPr>
                <w:rFonts w:ascii="Times New Roman" w:hAnsi="Times New Roman"/>
                <w:sz w:val="24"/>
              </w:rPr>
              <w:t xml:space="preserve">na ktoré sa nevzťahuje článok 147 ods. 4 písm. a) až c) nariadenia (EÚ) </w:t>
            </w:r>
            <w:r w:rsidR="00E036ED">
              <w:rPr>
                <w:rFonts w:ascii="Times New Roman" w:hAnsi="Times New Roman"/>
                <w:sz w:val="24"/>
              </w:rPr>
              <w:t>č. </w:t>
            </w:r>
            <w:r w:rsidRPr="00E036ED">
              <w:rPr>
                <w:rFonts w:ascii="Times New Roman" w:hAnsi="Times New Roman"/>
                <w:sz w:val="24"/>
              </w:rPr>
              <w:t>575/2013.</w:t>
            </w:r>
          </w:p>
          <w:p w14:paraId="69E0A121" w14:textId="110DB4B3" w:rsidR="00646595" w:rsidRPr="00E036ED" w:rsidRDefault="00646595" w:rsidP="00E9371F">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Inštitúcie zverejňujú celkovú expozíciu po odpočítaní expozícií</w:t>
            </w:r>
            <w:r w:rsidR="00E036ED">
              <w:rPr>
                <w:rFonts w:ascii="Times New Roman" w:hAnsi="Times New Roman"/>
                <w:color w:val="auto"/>
                <w:sz w:val="24"/>
              </w:rPr>
              <w:t xml:space="preserve"> v </w:t>
            </w:r>
            <w:r w:rsidRPr="00E036ED">
              <w:rPr>
                <w:rFonts w:ascii="Times New Roman" w:hAnsi="Times New Roman"/>
                <w:color w:val="auto"/>
                <w:sz w:val="24"/>
              </w:rPr>
              <w:t>stave zlyhania.</w:t>
            </w:r>
          </w:p>
        </w:tc>
      </w:tr>
      <w:tr w:rsidR="002312DE" w:rsidRPr="00E036ED" w14:paraId="69E0A127" w14:textId="77777777" w:rsidTr="009F3999">
        <w:trPr>
          <w:trHeight w:val="2265"/>
        </w:trPr>
        <w:tc>
          <w:tcPr>
            <w:tcW w:w="1380" w:type="dxa"/>
            <w:vAlign w:val="center"/>
          </w:tcPr>
          <w:p w14:paraId="69E0A123"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EU-8</w:t>
            </w:r>
          </w:p>
        </w:tc>
        <w:tc>
          <w:tcPr>
            <w:tcW w:w="7659" w:type="dxa"/>
          </w:tcPr>
          <w:p w14:paraId="69E0A124"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Zabezpečené hypotékami na nehnuteľný majetok</w:t>
            </w:r>
          </w:p>
          <w:p w14:paraId="2329AC41" w14:textId="179E474E" w:rsidR="00E036ED" w:rsidRDefault="00646595" w:rsidP="17C07D06">
            <w:pPr>
              <w:pStyle w:val="BodyText1"/>
              <w:spacing w:after="120" w:line="240" w:lineRule="auto"/>
              <w:rPr>
                <w:rFonts w:ascii="Times New Roman" w:hAnsi="Times New Roman"/>
                <w:color w:val="auto"/>
                <w:sz w:val="24"/>
              </w:rPr>
            </w:pPr>
            <w:r w:rsidRPr="00E036ED">
              <w:rPr>
                <w:rFonts w:ascii="Times New Roman" w:hAnsi="Times New Roman"/>
                <w:color w:val="auto"/>
                <w:sz w:val="24"/>
              </w:rPr>
              <w:t xml:space="preserve">Inštitúcie zverejňujú súčet expozícií, čo je hodnota expozícií aktív, ktoré sú expozíciami zabezpečenými hypotékami na nehnuteľný majetok, na ktoré sa vzťahuje článok 124 nariadenia (EÚ) </w:t>
            </w:r>
            <w:r w:rsidR="00E036ED">
              <w:rPr>
                <w:rFonts w:ascii="Times New Roman" w:hAnsi="Times New Roman"/>
                <w:color w:val="auto"/>
                <w:sz w:val="24"/>
              </w:rPr>
              <w:t>č. </w:t>
            </w:r>
            <w:r w:rsidRPr="00E036ED">
              <w:rPr>
                <w:rFonts w:ascii="Times New Roman" w:hAnsi="Times New Roman"/>
                <w:color w:val="auto"/>
                <w:sz w:val="24"/>
              </w:rPr>
              <w:t>575/2013</w:t>
            </w:r>
            <w:r w:rsidR="00E036ED">
              <w:rPr>
                <w:rFonts w:ascii="Times New Roman" w:hAnsi="Times New Roman"/>
                <w:color w:val="auto"/>
                <w:sz w:val="24"/>
              </w:rPr>
              <w:t xml:space="preserve"> v </w:t>
            </w:r>
            <w:r w:rsidRPr="00E036ED">
              <w:rPr>
                <w:rFonts w:ascii="Times New Roman" w:hAnsi="Times New Roman"/>
                <w:color w:val="auto"/>
                <w:sz w:val="24"/>
              </w:rPr>
              <w:t>prípade expozícií podľa SA,</w:t>
            </w:r>
            <w:r w:rsidR="00E036ED">
              <w:rPr>
                <w:rFonts w:ascii="Times New Roman" w:hAnsi="Times New Roman"/>
                <w:color w:val="auto"/>
                <w:sz w:val="24"/>
              </w:rPr>
              <w:t xml:space="preserve"> a </w:t>
            </w:r>
            <w:r w:rsidRPr="00E036ED">
              <w:rPr>
                <w:rFonts w:ascii="Times New Roman" w:hAnsi="Times New Roman"/>
                <w:color w:val="auto"/>
                <w:sz w:val="24"/>
              </w:rPr>
              <w:t xml:space="preserve">ktoré sú expozíciami voči podnikateľským subjektom podľa článku 147 ods. 2 písm. c) nariadenia (EÚ) </w:t>
            </w:r>
            <w:r w:rsidR="00E036ED">
              <w:rPr>
                <w:rFonts w:ascii="Times New Roman" w:hAnsi="Times New Roman"/>
                <w:color w:val="auto"/>
                <w:sz w:val="24"/>
              </w:rPr>
              <w:t>č. </w:t>
            </w:r>
            <w:r w:rsidRPr="00E036ED">
              <w:rPr>
                <w:rFonts w:ascii="Times New Roman" w:hAnsi="Times New Roman"/>
                <w:color w:val="auto"/>
                <w:sz w:val="24"/>
              </w:rPr>
              <w:t xml:space="preserve">575/2013 alebo retailovými expozíciami podľa článku 147 ods. 2 písm. d) nariadenia (EÚ) </w:t>
            </w:r>
            <w:r w:rsidR="00E036ED">
              <w:rPr>
                <w:rFonts w:ascii="Times New Roman" w:hAnsi="Times New Roman"/>
                <w:color w:val="auto"/>
                <w:sz w:val="24"/>
              </w:rPr>
              <w:t>č. </w:t>
            </w:r>
            <w:r w:rsidRPr="00E036ED">
              <w:rPr>
                <w:rFonts w:ascii="Times New Roman" w:hAnsi="Times New Roman"/>
                <w:color w:val="auto"/>
                <w:sz w:val="24"/>
              </w:rPr>
              <w:t>575/2013, ak sú tieto expozície zabezpečené hypotékami na nehnuteľný majetok</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199 ods. 1 písm. a) nariadenia (EÚ) </w:t>
            </w:r>
            <w:r w:rsidR="00E036ED">
              <w:rPr>
                <w:rFonts w:ascii="Times New Roman" w:hAnsi="Times New Roman"/>
                <w:color w:val="auto"/>
                <w:sz w:val="24"/>
              </w:rPr>
              <w:t>č. </w:t>
            </w:r>
            <w:r w:rsidRPr="00E036ED">
              <w:rPr>
                <w:rFonts w:ascii="Times New Roman" w:hAnsi="Times New Roman"/>
                <w:color w:val="auto"/>
                <w:sz w:val="24"/>
              </w:rPr>
              <w:t>575/2013 pre expozície podľa IRB</w:t>
            </w:r>
            <w:r w:rsidR="00E036ED">
              <w:rPr>
                <w:rFonts w:ascii="Times New Roman" w:hAnsi="Times New Roman"/>
                <w:color w:val="auto"/>
                <w:sz w:val="24"/>
              </w:rPr>
              <w:t>.</w:t>
            </w:r>
          </w:p>
          <w:p w14:paraId="69E0A126" w14:textId="01B68437" w:rsidR="00646595" w:rsidRPr="00E036ED" w:rsidRDefault="00646595" w:rsidP="00E9371F">
            <w:pPr>
              <w:pStyle w:val="BodyText1"/>
              <w:spacing w:after="120" w:line="240" w:lineRule="auto"/>
              <w:rPr>
                <w:rFonts w:ascii="Times New Roman" w:hAnsi="Times New Roman"/>
                <w:bCs/>
                <w:color w:val="auto"/>
                <w:sz w:val="24"/>
                <w:szCs w:val="24"/>
              </w:rPr>
            </w:pPr>
            <w:r w:rsidRPr="00E036ED">
              <w:rPr>
                <w:rFonts w:ascii="Times New Roman" w:hAnsi="Times New Roman"/>
                <w:color w:val="auto"/>
                <w:sz w:val="24"/>
              </w:rPr>
              <w:t>Inštitúcie zverejňujú celkovú expozíciu po odpočítaní expozícií</w:t>
            </w:r>
            <w:r w:rsidR="00E036ED">
              <w:rPr>
                <w:rFonts w:ascii="Times New Roman" w:hAnsi="Times New Roman"/>
                <w:color w:val="auto"/>
                <w:sz w:val="24"/>
              </w:rPr>
              <w:t xml:space="preserve"> v </w:t>
            </w:r>
            <w:r w:rsidRPr="00E036ED">
              <w:rPr>
                <w:rFonts w:ascii="Times New Roman" w:hAnsi="Times New Roman"/>
                <w:color w:val="auto"/>
                <w:sz w:val="24"/>
              </w:rPr>
              <w:t>stave zlyhania.</w:t>
            </w:r>
          </w:p>
        </w:tc>
      </w:tr>
      <w:tr w:rsidR="002312DE" w:rsidRPr="00E036ED" w14:paraId="69E0A12C" w14:textId="77777777" w:rsidTr="009F3999">
        <w:trPr>
          <w:trHeight w:val="2265"/>
        </w:trPr>
        <w:tc>
          <w:tcPr>
            <w:tcW w:w="1380" w:type="dxa"/>
            <w:vAlign w:val="center"/>
          </w:tcPr>
          <w:p w14:paraId="69E0A128"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EU-9</w:t>
            </w:r>
          </w:p>
        </w:tc>
        <w:tc>
          <w:tcPr>
            <w:tcW w:w="7659" w:type="dxa"/>
          </w:tcPr>
          <w:p w14:paraId="69E0A129"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Retailové expozície</w:t>
            </w:r>
          </w:p>
          <w:p w14:paraId="7F490821" w14:textId="016F5F55" w:rsidR="00E036ED" w:rsidRDefault="00646595" w:rsidP="17C07D06">
            <w:pPr>
              <w:pStyle w:val="BodyText1"/>
              <w:spacing w:after="120" w:line="240" w:lineRule="auto"/>
              <w:rPr>
                <w:rFonts w:ascii="Times New Roman" w:hAnsi="Times New Roman"/>
                <w:color w:val="auto"/>
                <w:sz w:val="24"/>
              </w:rPr>
            </w:pPr>
            <w:r w:rsidRPr="00E036ED">
              <w:rPr>
                <w:rFonts w:ascii="Times New Roman" w:hAnsi="Times New Roman"/>
                <w:color w:val="auto"/>
                <w:sz w:val="24"/>
              </w:rPr>
              <w:t xml:space="preserve">Inštitúcie zverejňujú súčet expozícií, čo je celková hodnota expozícií aktív, ktoré sú retailovými expozíciami podľa článku 123 nariadenia (EÚ) </w:t>
            </w:r>
            <w:r w:rsidR="00E036ED">
              <w:rPr>
                <w:rFonts w:ascii="Times New Roman" w:hAnsi="Times New Roman"/>
                <w:color w:val="auto"/>
                <w:sz w:val="24"/>
              </w:rPr>
              <w:t>č. </w:t>
            </w:r>
            <w:r w:rsidRPr="00E036ED">
              <w:rPr>
                <w:rFonts w:ascii="Times New Roman" w:hAnsi="Times New Roman"/>
                <w:color w:val="auto"/>
                <w:sz w:val="24"/>
              </w:rPr>
              <w:t>575/2013</w:t>
            </w:r>
            <w:r w:rsidR="00E036ED">
              <w:rPr>
                <w:rFonts w:ascii="Times New Roman" w:hAnsi="Times New Roman"/>
                <w:color w:val="auto"/>
                <w:sz w:val="24"/>
              </w:rPr>
              <w:t xml:space="preserve"> v </w:t>
            </w:r>
            <w:r w:rsidRPr="00E036ED">
              <w:rPr>
                <w:rFonts w:ascii="Times New Roman" w:hAnsi="Times New Roman"/>
                <w:color w:val="auto"/>
                <w:sz w:val="24"/>
              </w:rPr>
              <w:t>prípade expozícií podľa SA</w:t>
            </w:r>
            <w:r w:rsidR="00E036ED">
              <w:rPr>
                <w:rFonts w:ascii="Times New Roman" w:hAnsi="Times New Roman"/>
                <w:color w:val="auto"/>
                <w:sz w:val="24"/>
              </w:rPr>
              <w:t xml:space="preserve"> a </w:t>
            </w:r>
            <w:r w:rsidRPr="00E036ED">
              <w:rPr>
                <w:rFonts w:ascii="Times New Roman" w:hAnsi="Times New Roman"/>
                <w:color w:val="auto"/>
                <w:sz w:val="24"/>
              </w:rPr>
              <w:t xml:space="preserve">ktoré sú expozíciami podľa článku 147 ods. 2 písm. d) nariadenia (EÚ) </w:t>
            </w:r>
            <w:r w:rsidR="00E036ED">
              <w:rPr>
                <w:rFonts w:ascii="Times New Roman" w:hAnsi="Times New Roman"/>
                <w:color w:val="auto"/>
                <w:sz w:val="24"/>
              </w:rPr>
              <w:t>č. </w:t>
            </w:r>
            <w:r w:rsidRPr="00E036ED">
              <w:rPr>
                <w:rFonts w:ascii="Times New Roman" w:hAnsi="Times New Roman"/>
                <w:color w:val="auto"/>
                <w:sz w:val="24"/>
              </w:rPr>
              <w:t xml:space="preserve">575/2013, ak tieto expozície </w:t>
            </w:r>
            <w:r w:rsidRPr="00E036ED">
              <w:rPr>
                <w:rFonts w:ascii="Times New Roman" w:hAnsi="Times New Roman"/>
                <w:b/>
                <w:color w:val="auto"/>
                <w:sz w:val="24"/>
                <w:u w:val="single"/>
              </w:rPr>
              <w:t>nie sú</w:t>
            </w:r>
            <w:r w:rsidRPr="00E036ED">
              <w:rPr>
                <w:rFonts w:ascii="Times New Roman" w:hAnsi="Times New Roman"/>
                <w:color w:val="auto"/>
                <w:sz w:val="24"/>
              </w:rPr>
              <w:t xml:space="preserve"> zabezpečené hypotékami na nehnuteľný majetok</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199 ods. 1 písm. a) nariadenia (EÚ) </w:t>
            </w:r>
            <w:r w:rsidR="00E036ED">
              <w:rPr>
                <w:rFonts w:ascii="Times New Roman" w:hAnsi="Times New Roman"/>
                <w:color w:val="auto"/>
                <w:sz w:val="24"/>
              </w:rPr>
              <w:t>č. </w:t>
            </w:r>
            <w:r w:rsidRPr="00E036ED">
              <w:rPr>
                <w:rFonts w:ascii="Times New Roman" w:hAnsi="Times New Roman"/>
                <w:color w:val="auto"/>
                <w:sz w:val="24"/>
              </w:rPr>
              <w:t>575/2013 –</w:t>
            </w:r>
            <w:r w:rsidR="00E036ED">
              <w:rPr>
                <w:rFonts w:ascii="Times New Roman" w:hAnsi="Times New Roman"/>
                <w:color w:val="auto"/>
                <w:sz w:val="24"/>
              </w:rPr>
              <w:t xml:space="preserve"> v </w:t>
            </w:r>
            <w:r w:rsidRPr="00E036ED">
              <w:rPr>
                <w:rFonts w:ascii="Times New Roman" w:hAnsi="Times New Roman"/>
                <w:color w:val="auto"/>
                <w:sz w:val="24"/>
              </w:rPr>
              <w:t>prípade expozícií podľa IRB</w:t>
            </w:r>
            <w:r w:rsidR="00E036ED">
              <w:rPr>
                <w:rFonts w:ascii="Times New Roman" w:hAnsi="Times New Roman"/>
                <w:color w:val="auto"/>
                <w:sz w:val="24"/>
              </w:rPr>
              <w:t>.</w:t>
            </w:r>
          </w:p>
          <w:p w14:paraId="69E0A12B" w14:textId="02C6F251"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celkovú expozíciu po odpočítaní expozícií</w:t>
            </w:r>
            <w:r w:rsidR="00E036ED">
              <w:rPr>
                <w:rFonts w:ascii="Times New Roman" w:hAnsi="Times New Roman"/>
                <w:sz w:val="24"/>
              </w:rPr>
              <w:t xml:space="preserve"> v </w:t>
            </w:r>
            <w:r w:rsidRPr="00E036ED">
              <w:rPr>
                <w:rFonts w:ascii="Times New Roman" w:hAnsi="Times New Roman"/>
                <w:sz w:val="24"/>
              </w:rPr>
              <w:t>stave zlyhania.</w:t>
            </w:r>
          </w:p>
        </w:tc>
      </w:tr>
      <w:tr w:rsidR="002312DE" w:rsidRPr="00E036ED" w14:paraId="69E0A133" w14:textId="77777777" w:rsidTr="009F3999">
        <w:trPr>
          <w:trHeight w:val="625"/>
        </w:trPr>
        <w:tc>
          <w:tcPr>
            <w:tcW w:w="1380" w:type="dxa"/>
            <w:vAlign w:val="center"/>
          </w:tcPr>
          <w:p w14:paraId="69E0A12D"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EU-10</w:t>
            </w:r>
          </w:p>
        </w:tc>
        <w:tc>
          <w:tcPr>
            <w:tcW w:w="7659" w:type="dxa"/>
          </w:tcPr>
          <w:p w14:paraId="69E0A12E"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Podnikateľské subjekty</w:t>
            </w:r>
          </w:p>
          <w:p w14:paraId="69E0A12F" w14:textId="47752E81" w:rsidR="00646595" w:rsidRPr="00E036ED"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súčet expozícií, čo je celková hodnota expozícií aktív, ktoré sú expozíciami voči podnikateľským subjektom (t. j. finančným</w:t>
            </w:r>
            <w:r w:rsidR="00E036ED">
              <w:rPr>
                <w:rFonts w:ascii="Times New Roman" w:hAnsi="Times New Roman"/>
                <w:sz w:val="24"/>
              </w:rPr>
              <w:t xml:space="preserve"> a </w:t>
            </w:r>
            <w:r w:rsidRPr="00E036ED">
              <w:rPr>
                <w:rFonts w:ascii="Times New Roman" w:hAnsi="Times New Roman"/>
                <w:sz w:val="24"/>
              </w:rPr>
              <w:t>nefinančným).</w:t>
            </w:r>
            <w:r w:rsidR="00E036ED">
              <w:rPr>
                <w:rFonts w:ascii="Times New Roman" w:hAnsi="Times New Roman"/>
                <w:sz w:val="24"/>
              </w:rPr>
              <w:t xml:space="preserve"> V </w:t>
            </w:r>
            <w:r w:rsidRPr="00E036ED">
              <w:rPr>
                <w:rFonts w:ascii="Times New Roman" w:hAnsi="Times New Roman"/>
                <w:sz w:val="24"/>
              </w:rPr>
              <w:t>prípade expozícií podľa SA ide</w:t>
            </w:r>
            <w:r w:rsidR="00E036ED">
              <w:rPr>
                <w:rFonts w:ascii="Times New Roman" w:hAnsi="Times New Roman"/>
                <w:sz w:val="24"/>
              </w:rPr>
              <w:t xml:space="preserve"> o </w:t>
            </w:r>
            <w:r w:rsidRPr="00E036ED">
              <w:rPr>
                <w:rFonts w:ascii="Times New Roman" w:hAnsi="Times New Roman"/>
                <w:sz w:val="24"/>
              </w:rPr>
              <w:t xml:space="preserve">expozície voči podnikateľským subjektom, na ktoré sa vzťahuje článok 122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v </w:t>
            </w:r>
            <w:r w:rsidRPr="00E036ED">
              <w:rPr>
                <w:rFonts w:ascii="Times New Roman" w:hAnsi="Times New Roman"/>
                <w:sz w:val="24"/>
              </w:rPr>
              <w:t xml:space="preserve">prípade expozícií podľa IRB, ktoré sú expozíciami voči podnikateľským subjektom podľa článku 147 ods. 2 písm. c) nariadenia (EÚ) </w:t>
            </w:r>
            <w:r w:rsidR="00E036ED">
              <w:rPr>
                <w:rFonts w:ascii="Times New Roman" w:hAnsi="Times New Roman"/>
                <w:sz w:val="24"/>
              </w:rPr>
              <w:t>č. </w:t>
            </w:r>
            <w:r w:rsidRPr="00E036ED">
              <w:rPr>
                <w:rFonts w:ascii="Times New Roman" w:hAnsi="Times New Roman"/>
                <w:sz w:val="24"/>
              </w:rPr>
              <w:t xml:space="preserve">575/2013, ak tieto expozície </w:t>
            </w:r>
            <w:r w:rsidRPr="00E036ED">
              <w:rPr>
                <w:rFonts w:ascii="Times New Roman" w:hAnsi="Times New Roman"/>
                <w:b/>
                <w:sz w:val="24"/>
                <w:u w:val="single"/>
              </w:rPr>
              <w:t>nie sú</w:t>
            </w:r>
            <w:r w:rsidRPr="00E036ED">
              <w:rPr>
                <w:rFonts w:ascii="Times New Roman" w:hAnsi="Times New Roman"/>
                <w:sz w:val="24"/>
              </w:rPr>
              <w:t xml:space="preserve"> zabezpečené hypotékami na nehnuteľný majetok</w:t>
            </w:r>
            <w:r w:rsidR="00E036ED">
              <w:rPr>
                <w:rFonts w:ascii="Times New Roman" w:hAnsi="Times New Roman"/>
                <w:sz w:val="24"/>
              </w:rPr>
              <w:t xml:space="preserve"> v </w:t>
            </w:r>
            <w:r w:rsidRPr="00E036ED">
              <w:rPr>
                <w:rFonts w:ascii="Times New Roman" w:hAnsi="Times New Roman"/>
                <w:sz w:val="24"/>
              </w:rPr>
              <w:t>súlade</w:t>
            </w:r>
            <w:r w:rsidR="00E036ED">
              <w:rPr>
                <w:rFonts w:ascii="Times New Roman" w:hAnsi="Times New Roman"/>
                <w:sz w:val="24"/>
              </w:rPr>
              <w:t xml:space="preserve"> s </w:t>
            </w:r>
            <w:r w:rsidRPr="00E036ED">
              <w:rPr>
                <w:rFonts w:ascii="Times New Roman" w:hAnsi="Times New Roman"/>
                <w:sz w:val="24"/>
              </w:rPr>
              <w:t xml:space="preserve">článkom 199 ods. 1 písm. a) nariadenia (EÚ) </w:t>
            </w:r>
            <w:r w:rsidR="00E036ED">
              <w:rPr>
                <w:rFonts w:ascii="Times New Roman" w:hAnsi="Times New Roman"/>
                <w:sz w:val="24"/>
              </w:rPr>
              <w:t>č. </w:t>
            </w:r>
            <w:r w:rsidRPr="00E036ED">
              <w:rPr>
                <w:rFonts w:ascii="Times New Roman" w:hAnsi="Times New Roman"/>
                <w:sz w:val="24"/>
              </w:rPr>
              <w:t>575/2013.</w:t>
            </w:r>
          </w:p>
          <w:p w14:paraId="69E0A130" w14:textId="2B6A4D29" w:rsidR="00646595" w:rsidRPr="00E036ED" w:rsidRDefault="00646595" w:rsidP="17C07D06">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Finančné korporácie sú regulované</w:t>
            </w:r>
            <w:r w:rsidR="00E036ED">
              <w:rPr>
                <w:rFonts w:ascii="Times New Roman" w:hAnsi="Times New Roman"/>
                <w:sz w:val="24"/>
              </w:rPr>
              <w:t xml:space="preserve"> a </w:t>
            </w:r>
            <w:r w:rsidRPr="00E036ED">
              <w:rPr>
                <w:rFonts w:ascii="Times New Roman" w:hAnsi="Times New Roman"/>
                <w:sz w:val="24"/>
              </w:rPr>
              <w:t>neregulované podniky iné než inštitúcie uvedené</w:t>
            </w:r>
            <w:r w:rsidR="00E036ED">
              <w:rPr>
                <w:rFonts w:ascii="Times New Roman" w:hAnsi="Times New Roman"/>
                <w:sz w:val="24"/>
              </w:rPr>
              <w:t xml:space="preserve"> v </w:t>
            </w:r>
            <w:r w:rsidRPr="00E036ED">
              <w:rPr>
                <w:rFonts w:ascii="Times New Roman" w:hAnsi="Times New Roman"/>
                <w:sz w:val="24"/>
              </w:rPr>
              <w:t>položke EU-7 tohto vzoru, ktorých hlavnou činnosťou je nadobúdanie podielov alebo vykonávanie jednej alebo viacerých činností uvedených</w:t>
            </w:r>
            <w:r w:rsidR="00E036ED">
              <w:rPr>
                <w:rFonts w:ascii="Times New Roman" w:hAnsi="Times New Roman"/>
                <w:sz w:val="24"/>
              </w:rPr>
              <w:t xml:space="preserve"> v </w:t>
            </w:r>
            <w:r w:rsidRPr="00E036ED">
              <w:rPr>
                <w:rFonts w:ascii="Times New Roman" w:hAnsi="Times New Roman"/>
                <w:sz w:val="24"/>
              </w:rPr>
              <w:t>prílohe I</w:t>
            </w:r>
            <w:r w:rsidR="00E036ED">
              <w:rPr>
                <w:rFonts w:ascii="Times New Roman" w:hAnsi="Times New Roman"/>
                <w:sz w:val="24"/>
              </w:rPr>
              <w:t xml:space="preserve"> k </w:t>
            </w:r>
            <w:r w:rsidRPr="00E036ED">
              <w:rPr>
                <w:rFonts w:ascii="Times New Roman" w:hAnsi="Times New Roman"/>
                <w:sz w:val="24"/>
              </w:rPr>
              <w:t>CRD, ako aj podniky vymedzené</w:t>
            </w:r>
            <w:r w:rsidR="00E036ED">
              <w:rPr>
                <w:rFonts w:ascii="Times New Roman" w:hAnsi="Times New Roman"/>
                <w:sz w:val="24"/>
              </w:rPr>
              <w:t xml:space="preserve"> v </w:t>
            </w:r>
            <w:r w:rsidRPr="00E036ED">
              <w:rPr>
                <w:rFonts w:ascii="Times New Roman" w:hAnsi="Times New Roman"/>
                <w:sz w:val="24"/>
              </w:rPr>
              <w:t xml:space="preserve">článku 4 ods. 1 bode 27 nariadenia (EÚ) </w:t>
            </w:r>
            <w:r w:rsidR="00E036ED">
              <w:rPr>
                <w:rFonts w:ascii="Times New Roman" w:hAnsi="Times New Roman"/>
                <w:sz w:val="24"/>
              </w:rPr>
              <w:t>č. </w:t>
            </w:r>
            <w:r w:rsidRPr="00E036ED">
              <w:rPr>
                <w:rFonts w:ascii="Times New Roman" w:hAnsi="Times New Roman"/>
                <w:sz w:val="24"/>
              </w:rPr>
              <w:t>575/2013, iné než inštitúcie uvedené</w:t>
            </w:r>
            <w:r w:rsidR="00E036ED">
              <w:rPr>
                <w:rFonts w:ascii="Times New Roman" w:hAnsi="Times New Roman"/>
                <w:sz w:val="24"/>
              </w:rPr>
              <w:t xml:space="preserve"> v </w:t>
            </w:r>
            <w:r w:rsidRPr="00E036ED">
              <w:rPr>
                <w:rFonts w:ascii="Times New Roman" w:hAnsi="Times New Roman"/>
                <w:sz w:val="24"/>
              </w:rPr>
              <w:t xml:space="preserve">položke </w:t>
            </w:r>
            <w:r w:rsidRPr="00E036ED">
              <w:rPr>
                <w:rFonts w:ascii="Times New Roman" w:hAnsi="Times New Roman"/>
                <w:sz w:val="24"/>
              </w:rPr>
              <w:lastRenderedPageBreak/>
              <w:t>EU-7 tohto vzoru.</w:t>
            </w:r>
          </w:p>
          <w:p w14:paraId="69E0A131" w14:textId="45580CE3" w:rsidR="00646595" w:rsidRPr="00E036ED" w:rsidRDefault="00646595" w:rsidP="17C07D06">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Na účely tejto bunky je pojem „malý</w:t>
            </w:r>
            <w:r w:rsidR="00E036ED">
              <w:rPr>
                <w:rFonts w:ascii="Times New Roman" w:hAnsi="Times New Roman"/>
                <w:color w:val="auto"/>
                <w:sz w:val="24"/>
              </w:rPr>
              <w:t xml:space="preserve"> a </w:t>
            </w:r>
            <w:r w:rsidRPr="00E036ED">
              <w:rPr>
                <w:rFonts w:ascii="Times New Roman" w:hAnsi="Times New Roman"/>
                <w:color w:val="auto"/>
                <w:sz w:val="24"/>
              </w:rPr>
              <w:t>stredný podnik“ vymedzený</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501 ods. 2 písm. b) nariadenia (EÚ) </w:t>
            </w:r>
            <w:r w:rsidR="00E036ED">
              <w:rPr>
                <w:rFonts w:ascii="Times New Roman" w:hAnsi="Times New Roman"/>
                <w:color w:val="auto"/>
                <w:sz w:val="24"/>
              </w:rPr>
              <w:t>č. </w:t>
            </w:r>
            <w:r w:rsidRPr="00E036ED">
              <w:rPr>
                <w:rFonts w:ascii="Times New Roman" w:hAnsi="Times New Roman"/>
                <w:color w:val="auto"/>
                <w:sz w:val="24"/>
              </w:rPr>
              <w:t>575/2013.</w:t>
            </w:r>
          </w:p>
          <w:p w14:paraId="69E0A132" w14:textId="26A9778B"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celkovú expozíciu po odpočítaní expozícií</w:t>
            </w:r>
            <w:r w:rsidR="00E036ED">
              <w:rPr>
                <w:rFonts w:ascii="Times New Roman" w:hAnsi="Times New Roman"/>
                <w:sz w:val="24"/>
              </w:rPr>
              <w:t xml:space="preserve"> v </w:t>
            </w:r>
            <w:r w:rsidRPr="00E036ED">
              <w:rPr>
                <w:rFonts w:ascii="Times New Roman" w:hAnsi="Times New Roman"/>
                <w:sz w:val="24"/>
              </w:rPr>
              <w:t>stave zlyhania.</w:t>
            </w:r>
          </w:p>
        </w:tc>
      </w:tr>
      <w:tr w:rsidR="002312DE" w:rsidRPr="00E036ED" w14:paraId="69E0A137" w14:textId="77777777" w:rsidTr="009F3999">
        <w:trPr>
          <w:trHeight w:val="1729"/>
        </w:trPr>
        <w:tc>
          <w:tcPr>
            <w:tcW w:w="1380" w:type="dxa"/>
            <w:vAlign w:val="center"/>
          </w:tcPr>
          <w:p w14:paraId="69E0A134"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EU-11</w:t>
            </w:r>
          </w:p>
        </w:tc>
        <w:tc>
          <w:tcPr>
            <w:tcW w:w="7659" w:type="dxa"/>
          </w:tcPr>
          <w:p w14:paraId="69E0A135" w14:textId="33676434"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Expozície</w:t>
            </w:r>
            <w:r w:rsidR="00E036ED">
              <w:rPr>
                <w:rStyle w:val="TeksttreciPogrubienie"/>
                <w:rFonts w:ascii="Times New Roman" w:hAnsi="Times New Roman"/>
                <w:color w:val="auto"/>
                <w:sz w:val="24"/>
              </w:rPr>
              <w:t xml:space="preserve"> v </w:t>
            </w:r>
            <w:r w:rsidRPr="00E036ED">
              <w:rPr>
                <w:rStyle w:val="TeksttreciPogrubienie"/>
                <w:rFonts w:ascii="Times New Roman" w:hAnsi="Times New Roman"/>
                <w:color w:val="auto"/>
                <w:sz w:val="24"/>
              </w:rPr>
              <w:t>stave zlyhania</w:t>
            </w:r>
          </w:p>
          <w:p w14:paraId="69E0A136" w14:textId="057F7DAC" w:rsidR="00646595" w:rsidRPr="00E036ED" w:rsidRDefault="00646595">
            <w:pPr>
              <w:pStyle w:val="BodyText1"/>
              <w:spacing w:after="120" w:line="240" w:lineRule="auto"/>
              <w:rPr>
                <w:rFonts w:ascii="Times New Roman" w:hAnsi="Times New Roman"/>
                <w:color w:val="auto"/>
                <w:sz w:val="24"/>
                <w:szCs w:val="24"/>
              </w:rPr>
            </w:pPr>
            <w:r w:rsidRPr="00E036ED">
              <w:rPr>
                <w:rFonts w:ascii="Times New Roman" w:hAnsi="Times New Roman"/>
                <w:color w:val="auto"/>
                <w:sz w:val="24"/>
              </w:rPr>
              <w:t>Inštitúcie zverejňujú súčet expozícií, čo je celková hodnota expozícií aktív, ktoré sú</w:t>
            </w:r>
            <w:r w:rsidR="00E036ED">
              <w:rPr>
                <w:rFonts w:ascii="Times New Roman" w:hAnsi="Times New Roman"/>
                <w:color w:val="auto"/>
                <w:sz w:val="24"/>
              </w:rPr>
              <w:t xml:space="preserve"> v </w:t>
            </w:r>
            <w:r w:rsidRPr="00E036ED">
              <w:rPr>
                <w:rFonts w:ascii="Times New Roman" w:hAnsi="Times New Roman"/>
                <w:color w:val="auto"/>
                <w:sz w:val="24"/>
              </w:rPr>
              <w:t>stave zlyhania</w:t>
            </w:r>
            <w:r w:rsidR="00E036ED">
              <w:rPr>
                <w:rFonts w:ascii="Times New Roman" w:hAnsi="Times New Roman"/>
                <w:color w:val="auto"/>
                <w:sz w:val="24"/>
              </w:rPr>
              <w:t xml:space="preserve"> a </w:t>
            </w:r>
            <w:r w:rsidRPr="00E036ED">
              <w:rPr>
                <w:rFonts w:ascii="Times New Roman" w:hAnsi="Times New Roman"/>
                <w:color w:val="auto"/>
                <w:sz w:val="24"/>
              </w:rPr>
              <w:t>na ktoré sa –</w:t>
            </w:r>
            <w:r w:rsidR="00E036ED">
              <w:rPr>
                <w:rFonts w:ascii="Times New Roman" w:hAnsi="Times New Roman"/>
                <w:color w:val="auto"/>
                <w:sz w:val="24"/>
              </w:rPr>
              <w:t xml:space="preserve"> v </w:t>
            </w:r>
            <w:r w:rsidRPr="00E036ED">
              <w:rPr>
                <w:rFonts w:ascii="Times New Roman" w:hAnsi="Times New Roman"/>
                <w:color w:val="auto"/>
                <w:sz w:val="24"/>
              </w:rPr>
              <w:t xml:space="preserve">prípade expozícií podľa SA – vzťahuje článok 127 nariadenia (EÚ) </w:t>
            </w:r>
            <w:r w:rsidR="00E036ED">
              <w:rPr>
                <w:rFonts w:ascii="Times New Roman" w:hAnsi="Times New Roman"/>
                <w:color w:val="auto"/>
                <w:sz w:val="24"/>
              </w:rPr>
              <w:t>č. </w:t>
            </w:r>
            <w:r w:rsidRPr="00E036ED">
              <w:rPr>
                <w:rFonts w:ascii="Times New Roman" w:hAnsi="Times New Roman"/>
                <w:color w:val="auto"/>
                <w:sz w:val="24"/>
              </w:rPr>
              <w:t>575/2013, alebo ktoré sa –</w:t>
            </w:r>
            <w:r w:rsidR="00E036ED">
              <w:rPr>
                <w:rFonts w:ascii="Times New Roman" w:hAnsi="Times New Roman"/>
                <w:color w:val="auto"/>
                <w:sz w:val="24"/>
              </w:rPr>
              <w:t xml:space="preserve"> v </w:t>
            </w:r>
            <w:r w:rsidRPr="00E036ED">
              <w:rPr>
                <w:rFonts w:ascii="Times New Roman" w:hAnsi="Times New Roman"/>
                <w:color w:val="auto"/>
                <w:sz w:val="24"/>
              </w:rPr>
              <w:t>prípade expozícií podľa IRB – kategorizujú do tried expozícií uvedených</w:t>
            </w:r>
            <w:r w:rsidR="00E036ED">
              <w:rPr>
                <w:rFonts w:ascii="Times New Roman" w:hAnsi="Times New Roman"/>
                <w:color w:val="auto"/>
                <w:sz w:val="24"/>
              </w:rPr>
              <w:t xml:space="preserve"> v </w:t>
            </w:r>
            <w:r w:rsidRPr="00E036ED">
              <w:rPr>
                <w:rFonts w:ascii="Times New Roman" w:hAnsi="Times New Roman"/>
                <w:color w:val="auto"/>
                <w:sz w:val="24"/>
              </w:rPr>
              <w:t xml:space="preserve">článku 147 ods. 2 nariadenia (EÚ) </w:t>
            </w:r>
            <w:r w:rsidR="00E036ED">
              <w:rPr>
                <w:rFonts w:ascii="Times New Roman" w:hAnsi="Times New Roman"/>
                <w:color w:val="auto"/>
                <w:sz w:val="24"/>
              </w:rPr>
              <w:t>č. </w:t>
            </w:r>
            <w:r w:rsidRPr="00E036ED">
              <w:rPr>
                <w:rFonts w:ascii="Times New Roman" w:hAnsi="Times New Roman"/>
                <w:color w:val="auto"/>
                <w:sz w:val="24"/>
              </w:rPr>
              <w:t>575/2013, ak došlo</w:t>
            </w:r>
            <w:r w:rsidR="00E036ED">
              <w:rPr>
                <w:rFonts w:ascii="Times New Roman" w:hAnsi="Times New Roman"/>
                <w:color w:val="auto"/>
                <w:sz w:val="24"/>
              </w:rPr>
              <w:t xml:space="preserve"> k </w:t>
            </w:r>
            <w:r w:rsidRPr="00E036ED">
              <w:rPr>
                <w:rFonts w:ascii="Times New Roman" w:hAnsi="Times New Roman"/>
                <w:color w:val="auto"/>
                <w:sz w:val="24"/>
              </w:rPr>
              <w:t>zlyhaniu</w:t>
            </w:r>
            <w:r w:rsidR="00E036ED">
              <w:rPr>
                <w:rFonts w:ascii="Times New Roman" w:hAnsi="Times New Roman"/>
                <w:color w:val="auto"/>
                <w:sz w:val="24"/>
              </w:rPr>
              <w:t xml:space="preserve"> v </w:t>
            </w:r>
            <w:r w:rsidRPr="00E036ED">
              <w:rPr>
                <w:rFonts w:ascii="Times New Roman" w:hAnsi="Times New Roman"/>
                <w:color w:val="auto"/>
                <w:sz w:val="24"/>
              </w:rPr>
              <w:t>súlade</w:t>
            </w:r>
            <w:r w:rsidR="00E036ED">
              <w:rPr>
                <w:rFonts w:ascii="Times New Roman" w:hAnsi="Times New Roman"/>
                <w:color w:val="auto"/>
                <w:sz w:val="24"/>
              </w:rPr>
              <w:t xml:space="preserve"> s </w:t>
            </w:r>
            <w:r w:rsidRPr="00E036ED">
              <w:rPr>
                <w:rFonts w:ascii="Times New Roman" w:hAnsi="Times New Roman"/>
                <w:color w:val="auto"/>
                <w:sz w:val="24"/>
              </w:rPr>
              <w:t xml:space="preserve">článkom 178 nariadenia (EÚ) </w:t>
            </w:r>
            <w:r w:rsidR="00E036ED">
              <w:rPr>
                <w:rFonts w:ascii="Times New Roman" w:hAnsi="Times New Roman"/>
                <w:color w:val="auto"/>
                <w:sz w:val="24"/>
              </w:rPr>
              <w:t>č. </w:t>
            </w:r>
            <w:r w:rsidRPr="00E036ED">
              <w:rPr>
                <w:rFonts w:ascii="Times New Roman" w:hAnsi="Times New Roman"/>
                <w:color w:val="auto"/>
                <w:sz w:val="24"/>
              </w:rPr>
              <w:t>575/2013.</w:t>
            </w:r>
          </w:p>
        </w:tc>
      </w:tr>
      <w:tr w:rsidR="002312DE" w:rsidRPr="00E036ED" w14:paraId="69E0A13B" w14:textId="77777777" w:rsidTr="009F3999">
        <w:trPr>
          <w:trHeight w:val="992"/>
        </w:trPr>
        <w:tc>
          <w:tcPr>
            <w:tcW w:w="1380" w:type="dxa"/>
            <w:vAlign w:val="center"/>
          </w:tcPr>
          <w:p w14:paraId="69E0A138"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EU-12</w:t>
            </w:r>
          </w:p>
        </w:tc>
        <w:tc>
          <w:tcPr>
            <w:tcW w:w="7659" w:type="dxa"/>
          </w:tcPr>
          <w:p w14:paraId="69E0A139" w14:textId="4AEECA44"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Iné expozície (napr. kapitálové, sekuritizácie</w:t>
            </w:r>
            <w:r w:rsidR="00E036ED">
              <w:rPr>
                <w:rStyle w:val="TeksttreciPogrubienie"/>
                <w:rFonts w:ascii="Times New Roman" w:hAnsi="Times New Roman"/>
                <w:color w:val="auto"/>
                <w:sz w:val="24"/>
              </w:rPr>
              <w:t xml:space="preserve"> a </w:t>
            </w:r>
            <w:r w:rsidRPr="00E036ED">
              <w:rPr>
                <w:rStyle w:val="TeksttreciPogrubienie"/>
                <w:rFonts w:ascii="Times New Roman" w:hAnsi="Times New Roman"/>
                <w:color w:val="auto"/>
                <w:sz w:val="24"/>
              </w:rPr>
              <w:t>iné aktíva, ktoré nemajú povahu kreditného záväzku)</w:t>
            </w:r>
          </w:p>
          <w:p w14:paraId="69E0A13A" w14:textId="7BD4EE8D"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Inštitúcie zverejňujú súčet expozícií, čo je celková hodnota expozície iných expozícií</w:t>
            </w:r>
            <w:r w:rsidR="00E036ED">
              <w:rPr>
                <w:rFonts w:ascii="Times New Roman" w:hAnsi="Times New Roman"/>
                <w:sz w:val="24"/>
              </w:rPr>
              <w:t xml:space="preserve"> v </w:t>
            </w:r>
            <w:r w:rsidRPr="00E036ED">
              <w:rPr>
                <w:rFonts w:ascii="Times New Roman" w:hAnsi="Times New Roman"/>
                <w:sz w:val="24"/>
              </w:rPr>
              <w:t xml:space="preserve">neobchodnej knihe podľa nariadenia (EÚ) </w:t>
            </w:r>
            <w:r w:rsidR="00E036ED">
              <w:rPr>
                <w:rFonts w:ascii="Times New Roman" w:hAnsi="Times New Roman"/>
                <w:sz w:val="24"/>
              </w:rPr>
              <w:t>č. </w:t>
            </w:r>
            <w:r w:rsidRPr="00E036ED">
              <w:rPr>
                <w:rFonts w:ascii="Times New Roman" w:hAnsi="Times New Roman"/>
                <w:sz w:val="24"/>
              </w:rPr>
              <w:t>575/2013 (napr. kapitálové, sekuritizácie</w:t>
            </w:r>
            <w:r w:rsidR="00E036ED">
              <w:rPr>
                <w:rFonts w:ascii="Times New Roman" w:hAnsi="Times New Roman"/>
                <w:sz w:val="24"/>
              </w:rPr>
              <w:t xml:space="preserve"> a </w:t>
            </w:r>
            <w:r w:rsidRPr="00E036ED">
              <w:rPr>
                <w:rFonts w:ascii="Times New Roman" w:hAnsi="Times New Roman"/>
                <w:sz w:val="24"/>
              </w:rPr>
              <w:t>aktíva, ktoré nemajú povahu kreditného záväzku;</w:t>
            </w:r>
            <w:r w:rsidR="00E036ED">
              <w:rPr>
                <w:rFonts w:ascii="Times New Roman" w:hAnsi="Times New Roman"/>
                <w:sz w:val="24"/>
              </w:rPr>
              <w:t xml:space="preserve"> v </w:t>
            </w:r>
            <w:r w:rsidRPr="00E036ED">
              <w:rPr>
                <w:rFonts w:ascii="Times New Roman" w:hAnsi="Times New Roman"/>
                <w:sz w:val="24"/>
              </w:rPr>
              <w:t>prípade expozícií podľa SA ide</w:t>
            </w:r>
            <w:r w:rsidR="00E036ED">
              <w:rPr>
                <w:rFonts w:ascii="Times New Roman" w:hAnsi="Times New Roman"/>
                <w:sz w:val="24"/>
              </w:rPr>
              <w:t xml:space="preserve"> o </w:t>
            </w:r>
            <w:r w:rsidRPr="00E036ED">
              <w:rPr>
                <w:rFonts w:ascii="Times New Roman" w:hAnsi="Times New Roman"/>
                <w:sz w:val="24"/>
              </w:rPr>
              <w:t>aktíva kategorizované do tried expozícií uvedených</w:t>
            </w:r>
            <w:r w:rsidR="00E036ED">
              <w:rPr>
                <w:rFonts w:ascii="Times New Roman" w:hAnsi="Times New Roman"/>
                <w:sz w:val="24"/>
              </w:rPr>
              <w:t xml:space="preserve"> v </w:t>
            </w:r>
            <w:r w:rsidRPr="00E036ED">
              <w:rPr>
                <w:rFonts w:ascii="Times New Roman" w:hAnsi="Times New Roman"/>
                <w:sz w:val="24"/>
              </w:rPr>
              <w:t>článku 112 písm. k), m), n), o), p)</w:t>
            </w:r>
            <w:r w:rsidR="00E036ED">
              <w:rPr>
                <w:rFonts w:ascii="Times New Roman" w:hAnsi="Times New Roman"/>
                <w:sz w:val="24"/>
              </w:rPr>
              <w:t xml:space="preserve"> a </w:t>
            </w:r>
            <w:r w:rsidRPr="00E036ED">
              <w:rPr>
                <w:rFonts w:ascii="Times New Roman" w:hAnsi="Times New Roman"/>
                <w:sz w:val="24"/>
              </w:rPr>
              <w:t xml:space="preserve">q) nariadenia (EÚ) </w:t>
            </w:r>
            <w:r w:rsidR="00E036ED">
              <w:rPr>
                <w:rFonts w:ascii="Times New Roman" w:hAnsi="Times New Roman"/>
                <w:sz w:val="24"/>
              </w:rPr>
              <w:t>č. </w:t>
            </w:r>
            <w:r w:rsidRPr="00E036ED">
              <w:rPr>
                <w:rFonts w:ascii="Times New Roman" w:hAnsi="Times New Roman"/>
                <w:sz w:val="24"/>
              </w:rPr>
              <w:t>575/2013</w:t>
            </w:r>
            <w:r w:rsidR="00E036ED">
              <w:rPr>
                <w:rFonts w:ascii="Times New Roman" w:hAnsi="Times New Roman"/>
                <w:sz w:val="24"/>
              </w:rPr>
              <w:t xml:space="preserve"> a v </w:t>
            </w:r>
            <w:r w:rsidRPr="00E036ED">
              <w:rPr>
                <w:rFonts w:ascii="Times New Roman" w:hAnsi="Times New Roman"/>
                <w:sz w:val="24"/>
              </w:rPr>
              <w:t>prípade expozícií podľa IRB –</w:t>
            </w:r>
            <w:r w:rsidR="00E036ED">
              <w:rPr>
                <w:rFonts w:ascii="Times New Roman" w:hAnsi="Times New Roman"/>
                <w:sz w:val="24"/>
              </w:rPr>
              <w:t xml:space="preserve"> v </w:t>
            </w:r>
            <w:r w:rsidRPr="00E036ED">
              <w:rPr>
                <w:rFonts w:ascii="Times New Roman" w:hAnsi="Times New Roman"/>
                <w:sz w:val="24"/>
              </w:rPr>
              <w:t>článku 147 ods. 2 písm. e), f)</w:t>
            </w:r>
            <w:r w:rsidR="00E036ED">
              <w:rPr>
                <w:rFonts w:ascii="Times New Roman" w:hAnsi="Times New Roman"/>
                <w:sz w:val="24"/>
              </w:rPr>
              <w:t xml:space="preserve"> a </w:t>
            </w:r>
            <w:r w:rsidRPr="00E036ED">
              <w:rPr>
                <w:rFonts w:ascii="Times New Roman" w:hAnsi="Times New Roman"/>
                <w:sz w:val="24"/>
              </w:rPr>
              <w:t xml:space="preserve">g) nariadenia (EÚ) </w:t>
            </w:r>
            <w:r w:rsidR="00E036ED">
              <w:rPr>
                <w:rFonts w:ascii="Times New Roman" w:hAnsi="Times New Roman"/>
                <w:sz w:val="24"/>
              </w:rPr>
              <w:t>č. </w:t>
            </w:r>
            <w:r w:rsidRPr="00E036ED">
              <w:rPr>
                <w:rFonts w:ascii="Times New Roman" w:hAnsi="Times New Roman"/>
                <w:sz w:val="24"/>
              </w:rPr>
              <w:t>575/2013. Inštitúcie zahŕňajú aktíva, ktoré sa odpočítavajú pri určovaní kapitálu Tier 1,</w:t>
            </w:r>
            <w:r w:rsidR="00E036ED">
              <w:rPr>
                <w:rFonts w:ascii="Times New Roman" w:hAnsi="Times New Roman"/>
                <w:sz w:val="24"/>
              </w:rPr>
              <w:t xml:space="preserve"> a </w:t>
            </w:r>
            <w:r w:rsidRPr="00E036ED">
              <w:rPr>
                <w:rFonts w:ascii="Times New Roman" w:hAnsi="Times New Roman"/>
                <w:sz w:val="24"/>
              </w:rPr>
              <w:t>preto sú zverejnené</w:t>
            </w:r>
            <w:r w:rsidR="00E036ED">
              <w:rPr>
                <w:rFonts w:ascii="Times New Roman" w:hAnsi="Times New Roman"/>
                <w:sz w:val="24"/>
              </w:rPr>
              <w:t xml:space="preserve"> v </w:t>
            </w:r>
            <w:r w:rsidRPr="00E036ED">
              <w:rPr>
                <w:rFonts w:ascii="Times New Roman" w:hAnsi="Times New Roman"/>
                <w:sz w:val="24"/>
              </w:rPr>
              <w:t>riadku 2 vzoru EU LR2 – LRCom, pokiaľ tieto aktíva nie sú zahrnuté</w:t>
            </w:r>
            <w:r w:rsidR="00E036ED">
              <w:rPr>
                <w:rFonts w:ascii="Times New Roman" w:hAnsi="Times New Roman"/>
                <w:sz w:val="24"/>
              </w:rPr>
              <w:t xml:space="preserve"> v </w:t>
            </w:r>
            <w:r w:rsidRPr="00E036ED">
              <w:rPr>
                <w:rFonts w:ascii="Times New Roman" w:hAnsi="Times New Roman"/>
                <w:sz w:val="24"/>
              </w:rPr>
              <w:t>riadkoch EU-2, EU-4 až EU-11 vzoru EU LR3 – LRSpl.</w:t>
            </w:r>
          </w:p>
        </w:tc>
      </w:tr>
    </w:tbl>
    <w:p w14:paraId="69E0A13C" w14:textId="77777777" w:rsidR="00646595" w:rsidRPr="00E036ED" w:rsidRDefault="00646595" w:rsidP="00646595">
      <w:pPr>
        <w:spacing w:after="120"/>
        <w:rPr>
          <w:rFonts w:ascii="Times New Roman" w:hAnsi="Times New Roman" w:cs="Times New Roman"/>
          <w:sz w:val="24"/>
        </w:rPr>
      </w:pPr>
    </w:p>
    <w:p w14:paraId="69E0A13D" w14:textId="58687238" w:rsidR="00646595" w:rsidRPr="00E036ED"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sidRPr="00E036ED">
        <w:rPr>
          <w:rFonts w:ascii="Times New Roman" w:hAnsi="Times New Roman"/>
          <w:sz w:val="24"/>
        </w:rPr>
        <w:t xml:space="preserve">Tabuľka EU LRA – Zverejňovanie kvalitatívnych informácií LR. </w:t>
      </w:r>
      <w:r w:rsidRPr="00E036ED">
        <w:rPr>
          <w:rFonts w:ascii="Times New Roman" w:hAnsi="Times New Roman"/>
          <w:b w:val="0"/>
          <w:sz w:val="24"/>
        </w:rPr>
        <w:t>Textové polia</w:t>
      </w:r>
      <w:r w:rsidR="00E036ED">
        <w:rPr>
          <w:rFonts w:ascii="Times New Roman" w:hAnsi="Times New Roman"/>
          <w:b w:val="0"/>
          <w:sz w:val="24"/>
        </w:rPr>
        <w:t xml:space="preserve"> s </w:t>
      </w:r>
      <w:r w:rsidRPr="00E036ED">
        <w:rPr>
          <w:rFonts w:ascii="Times New Roman" w:hAnsi="Times New Roman"/>
          <w:b w:val="0"/>
          <w:sz w:val="24"/>
        </w:rPr>
        <w:t>ľubovoľným formátom na zverejňovanie kvalitatívnych informácií.</w:t>
      </w:r>
    </w:p>
    <w:p w14:paraId="69E0A13E" w14:textId="0739E32E" w:rsidR="00646595" w:rsidRPr="00E036ED"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sidRPr="00E036ED">
        <w:rPr>
          <w:rFonts w:ascii="Times New Roman" w:hAnsi="Times New Roman"/>
          <w:sz w:val="24"/>
        </w:rPr>
        <w:t>Inštitúcie vypĺňajú tabuľku</w:t>
      </w:r>
      <w:r w:rsidRPr="00E036ED">
        <w:tab/>
      </w:r>
      <w:r w:rsidRPr="00E036ED">
        <w:rPr>
          <w:rFonts w:ascii="Times New Roman" w:hAnsi="Times New Roman"/>
          <w:sz w:val="24"/>
        </w:rPr>
        <w:t xml:space="preserve"> EU LRA podľa týchto pokynov, pričom uplatňujú článok 451 ods. 1 písm. d)</w:t>
      </w:r>
      <w:r w:rsidR="00E036ED">
        <w:rPr>
          <w:rFonts w:ascii="Times New Roman" w:hAnsi="Times New Roman"/>
          <w:sz w:val="24"/>
        </w:rPr>
        <w:t xml:space="preserve"> a </w:t>
      </w:r>
      <w:r w:rsidRPr="00E036ED">
        <w:rPr>
          <w:rFonts w:ascii="Times New Roman" w:hAnsi="Times New Roman"/>
          <w:sz w:val="24"/>
        </w:rPr>
        <w:t xml:space="preserve">e) nariadenia (EÚ) </w:t>
      </w:r>
      <w:r w:rsidR="00E036ED">
        <w:rPr>
          <w:rFonts w:ascii="Times New Roman" w:hAnsi="Times New Roman"/>
          <w:sz w:val="24"/>
        </w:rPr>
        <w:t>č. </w:t>
      </w:r>
      <w:r w:rsidRPr="00E036ED">
        <w:rPr>
          <w:rFonts w:ascii="Times New Roman" w:hAnsi="Times New Roman"/>
          <w:sz w:val="24"/>
        </w:rPr>
        <w:t>575/2013.</w:t>
      </w:r>
    </w:p>
    <w:p w14:paraId="69E0A13F" w14:textId="77777777" w:rsidR="00646595" w:rsidRPr="00E036ED"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E036ED"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1AA8D9CD" w:rsidR="00646595" w:rsidRPr="00E036ED" w:rsidRDefault="00646595" w:rsidP="00E9371F">
            <w:pPr>
              <w:spacing w:after="120"/>
              <w:rPr>
                <w:rFonts w:ascii="Times New Roman" w:hAnsi="Times New Roman" w:cs="Times New Roman"/>
                <w:b/>
                <w:sz w:val="24"/>
              </w:rPr>
            </w:pPr>
            <w:r w:rsidRPr="00E036ED">
              <w:rPr>
                <w:rFonts w:ascii="Times New Roman" w:hAnsi="Times New Roman"/>
                <w:b/>
                <w:sz w:val="24"/>
              </w:rPr>
              <w:t>Odkazy na právne predpisy</w:t>
            </w:r>
            <w:r w:rsidR="00E036ED">
              <w:rPr>
                <w:rFonts w:ascii="Times New Roman" w:hAnsi="Times New Roman"/>
                <w:b/>
                <w:sz w:val="24"/>
              </w:rPr>
              <w:t xml:space="preserve"> a </w:t>
            </w:r>
            <w:r w:rsidRPr="00E036ED">
              <w:rPr>
                <w:rFonts w:ascii="Times New Roman" w:hAnsi="Times New Roman"/>
                <w:b/>
                <w:sz w:val="24"/>
              </w:rPr>
              <w:t>pokyny</w:t>
            </w:r>
          </w:p>
        </w:tc>
      </w:tr>
      <w:tr w:rsidR="002312DE" w:rsidRPr="00E036ED" w14:paraId="69E0A144" w14:textId="77777777" w:rsidTr="17C07D06">
        <w:trPr>
          <w:trHeight w:val="238"/>
        </w:trPr>
        <w:tc>
          <w:tcPr>
            <w:tcW w:w="1384" w:type="dxa"/>
            <w:shd w:val="clear" w:color="auto" w:fill="D9D9D9" w:themeFill="background1" w:themeFillShade="D9"/>
          </w:tcPr>
          <w:p w14:paraId="69E0A142" w14:textId="77777777" w:rsidR="00646595" w:rsidRPr="00E036ED" w:rsidRDefault="00646595" w:rsidP="00E9371F">
            <w:pPr>
              <w:autoSpaceDE w:val="0"/>
              <w:autoSpaceDN w:val="0"/>
              <w:adjustRightInd w:val="0"/>
              <w:spacing w:after="120"/>
              <w:rPr>
                <w:rFonts w:ascii="Times New Roman" w:hAnsi="Times New Roman" w:cs="Times New Roman"/>
                <w:b/>
                <w:sz w:val="24"/>
              </w:rPr>
            </w:pPr>
            <w:r w:rsidRPr="00E036ED">
              <w:rPr>
                <w:rFonts w:ascii="Times New Roman" w:hAnsi="Times New Roman"/>
                <w:b/>
                <w:sz w:val="24"/>
              </w:rPr>
              <w:t>Číslo riadku</w:t>
            </w:r>
          </w:p>
        </w:tc>
        <w:tc>
          <w:tcPr>
            <w:tcW w:w="7655" w:type="dxa"/>
            <w:shd w:val="clear" w:color="auto" w:fill="D9D9D9" w:themeFill="background1" w:themeFillShade="D9"/>
          </w:tcPr>
          <w:p w14:paraId="69E0A143" w14:textId="77777777" w:rsidR="00646595" w:rsidRPr="00E036ED" w:rsidRDefault="00646595" w:rsidP="00E9371F">
            <w:pPr>
              <w:autoSpaceDE w:val="0"/>
              <w:autoSpaceDN w:val="0"/>
              <w:adjustRightInd w:val="0"/>
              <w:spacing w:after="120"/>
              <w:rPr>
                <w:rFonts w:ascii="Times New Roman" w:hAnsi="Times New Roman" w:cs="Times New Roman"/>
                <w:sz w:val="24"/>
              </w:rPr>
            </w:pPr>
            <w:r w:rsidRPr="00E036ED">
              <w:rPr>
                <w:rFonts w:ascii="Times New Roman" w:hAnsi="Times New Roman"/>
                <w:b/>
                <w:sz w:val="24"/>
              </w:rPr>
              <w:t>Vysvetlenie</w:t>
            </w:r>
          </w:p>
        </w:tc>
      </w:tr>
      <w:tr w:rsidR="002312DE" w:rsidRPr="00E036ED" w14:paraId="69E0A14D" w14:textId="77777777" w:rsidTr="17C07D06">
        <w:trPr>
          <w:trHeight w:val="805"/>
        </w:trPr>
        <w:tc>
          <w:tcPr>
            <w:tcW w:w="1384" w:type="dxa"/>
          </w:tcPr>
          <w:p w14:paraId="69E0A145"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t>a)</w:t>
            </w:r>
          </w:p>
        </w:tc>
        <w:tc>
          <w:tcPr>
            <w:tcW w:w="7655" w:type="dxa"/>
          </w:tcPr>
          <w:p w14:paraId="69E0A146"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Opis postupov používaných na riadenie rizika nadmerného využívania finančnej páky</w:t>
            </w:r>
          </w:p>
          <w:p w14:paraId="69E0A147" w14:textId="1E4E2750"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 Článok 451 ods. 1 písm. d) nariadenia (EÚ) </w:t>
            </w:r>
            <w:r w:rsidR="00E036ED">
              <w:rPr>
                <w:rFonts w:ascii="Times New Roman" w:hAnsi="Times New Roman"/>
                <w:sz w:val="24"/>
              </w:rPr>
              <w:t>č. </w:t>
            </w:r>
            <w:r w:rsidRPr="00E036ED">
              <w:rPr>
                <w:rFonts w:ascii="Times New Roman" w:hAnsi="Times New Roman"/>
                <w:sz w:val="24"/>
              </w:rPr>
              <w:t>575/2013.</w:t>
            </w:r>
          </w:p>
          <w:p w14:paraId="69E0A148"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„Opis postupov používaných na riadenie rizika nadmerného využívania finančnej páky“ zahŕňa akékoľvek relevantné informácie o:</w:t>
            </w:r>
          </w:p>
          <w:p w14:paraId="69E0A149" w14:textId="6BCB42FD" w:rsidR="00646595" w:rsidRPr="00E036ED"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 postupoch</w:t>
            </w:r>
            <w:r w:rsidR="00E036ED">
              <w:rPr>
                <w:rFonts w:ascii="Times New Roman" w:hAnsi="Times New Roman"/>
                <w:sz w:val="24"/>
              </w:rPr>
              <w:t xml:space="preserve"> a </w:t>
            </w:r>
            <w:r w:rsidRPr="00E036ED">
              <w:rPr>
                <w:rFonts w:ascii="Times New Roman" w:hAnsi="Times New Roman"/>
                <w:sz w:val="24"/>
              </w:rPr>
              <w:t>zdrojoch používaných na posudzovanie rizika nadmerného využívania finančnej páky;</w:t>
            </w:r>
          </w:p>
          <w:p w14:paraId="69E0A14A" w14:textId="7755CFA1" w:rsidR="00646595" w:rsidRPr="00E036ED"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 prípadných kvantitatívnych nástrojoch používaných na posudzovanie rizika nadmerného využívania finančnej páky vrátane podrobných údajov</w:t>
            </w:r>
            <w:r w:rsidR="00E036ED">
              <w:rPr>
                <w:rFonts w:ascii="Times New Roman" w:hAnsi="Times New Roman"/>
                <w:sz w:val="24"/>
              </w:rPr>
              <w:t xml:space="preserve"> </w:t>
            </w:r>
            <w:r w:rsidR="00E036ED">
              <w:rPr>
                <w:rFonts w:ascii="Times New Roman" w:hAnsi="Times New Roman"/>
                <w:sz w:val="24"/>
              </w:rPr>
              <w:lastRenderedPageBreak/>
              <w:t>o </w:t>
            </w:r>
            <w:r w:rsidRPr="00E036ED">
              <w:rPr>
                <w:rFonts w:ascii="Times New Roman" w:hAnsi="Times New Roman"/>
                <w:sz w:val="24"/>
              </w:rPr>
              <w:t>potenciálnych interných cieľoch</w:t>
            </w:r>
            <w:r w:rsidR="00E036ED">
              <w:rPr>
                <w:rFonts w:ascii="Times New Roman" w:hAnsi="Times New Roman"/>
                <w:sz w:val="24"/>
              </w:rPr>
              <w:t xml:space="preserve"> a o </w:t>
            </w:r>
            <w:r w:rsidRPr="00E036ED">
              <w:rPr>
                <w:rFonts w:ascii="Times New Roman" w:hAnsi="Times New Roman"/>
                <w:sz w:val="24"/>
              </w:rPr>
              <w:t>tom, či sa používajú aj iné ukazovatele než ukazovateľ finančnej páky;</w:t>
            </w:r>
          </w:p>
          <w:p w14:paraId="69E0A14B" w14:textId="7374AEA3" w:rsidR="00646595" w:rsidRPr="00E036ED"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sidRPr="00E036ED">
              <w:rPr>
                <w:rFonts w:ascii="Times New Roman" w:hAnsi="Times New Roman"/>
                <w:sz w:val="24"/>
              </w:rPr>
              <w:t>c) spôsoboch, ako sa pri riadení rizika nadmerného využívania finančnej páky zohľadňuje nesúlad splatností</w:t>
            </w:r>
            <w:r w:rsidR="00E036ED">
              <w:rPr>
                <w:rFonts w:ascii="Times New Roman" w:hAnsi="Times New Roman"/>
                <w:sz w:val="24"/>
              </w:rPr>
              <w:t xml:space="preserve"> a </w:t>
            </w:r>
            <w:r w:rsidRPr="00E036ED">
              <w:rPr>
                <w:rFonts w:ascii="Times New Roman" w:hAnsi="Times New Roman"/>
                <w:sz w:val="24"/>
              </w:rPr>
              <w:t>zaťaženosť aktív;</w:t>
            </w:r>
          </w:p>
          <w:p w14:paraId="69E0A14C" w14:textId="26C9E973" w:rsidR="00646595" w:rsidRPr="00E036ED"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E036ED">
              <w:rPr>
                <w:rFonts w:ascii="Times New Roman" w:hAnsi="Times New Roman"/>
                <w:sz w:val="24"/>
              </w:rPr>
              <w:t>d) postupoch, ktorými sa reaguje na zmeny ukazovateľa finančnej páky, vrátane postupov</w:t>
            </w:r>
            <w:r w:rsidR="00E036ED">
              <w:rPr>
                <w:rFonts w:ascii="Times New Roman" w:hAnsi="Times New Roman"/>
                <w:sz w:val="24"/>
              </w:rPr>
              <w:t xml:space="preserve"> a </w:t>
            </w:r>
            <w:r w:rsidRPr="00E036ED">
              <w:rPr>
                <w:rFonts w:ascii="Times New Roman" w:hAnsi="Times New Roman"/>
                <w:sz w:val="24"/>
              </w:rPr>
              <w:t>časových rámcov pre potenciálne zvýšenie kapitálu Tier 1 na riadenie rizika nadmerného využívania finančnej páky; alebo</w:t>
            </w:r>
            <w:r w:rsidR="00E036ED">
              <w:rPr>
                <w:rFonts w:ascii="Times New Roman" w:hAnsi="Times New Roman"/>
                <w:sz w:val="24"/>
              </w:rPr>
              <w:t xml:space="preserve"> o </w:t>
            </w:r>
            <w:r w:rsidRPr="00E036ED">
              <w:rPr>
                <w:rFonts w:ascii="Times New Roman" w:hAnsi="Times New Roman"/>
                <w:sz w:val="24"/>
              </w:rPr>
              <w:t>postupoch</w:t>
            </w:r>
            <w:r w:rsidR="00E036ED">
              <w:rPr>
                <w:rFonts w:ascii="Times New Roman" w:hAnsi="Times New Roman"/>
                <w:sz w:val="24"/>
              </w:rPr>
              <w:t xml:space="preserve"> a </w:t>
            </w:r>
            <w:r w:rsidRPr="00E036ED">
              <w:rPr>
                <w:rFonts w:ascii="Times New Roman" w:hAnsi="Times New Roman"/>
                <w:sz w:val="24"/>
              </w:rPr>
              <w:t>časových rámcoch pre úpravu menovateľa ukazovateľa finančnej páky (veľkosť celkovej expozície) na riadenie rizika nadmerného využívania finančnej páky.</w:t>
            </w:r>
          </w:p>
        </w:tc>
      </w:tr>
      <w:tr w:rsidR="00646595" w:rsidRPr="00E036ED" w14:paraId="69E0A157" w14:textId="77777777" w:rsidTr="17C07D06">
        <w:trPr>
          <w:trHeight w:val="2265"/>
        </w:trPr>
        <w:tc>
          <w:tcPr>
            <w:tcW w:w="1384" w:type="dxa"/>
          </w:tcPr>
          <w:p w14:paraId="69E0A14E" w14:textId="77777777" w:rsidR="00646595" w:rsidRPr="00E036ED"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E036ED">
              <w:rPr>
                <w:rFonts w:ascii="Times New Roman" w:hAnsi="Times New Roman"/>
                <w:sz w:val="24"/>
              </w:rPr>
              <w:lastRenderedPageBreak/>
              <w:t>b)</w:t>
            </w:r>
          </w:p>
        </w:tc>
        <w:tc>
          <w:tcPr>
            <w:tcW w:w="7655" w:type="dxa"/>
          </w:tcPr>
          <w:p w14:paraId="69E0A14F"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Style w:val="TeksttreciPogrubienie"/>
                <w:rFonts w:ascii="Times New Roman" w:hAnsi="Times New Roman"/>
                <w:color w:val="auto"/>
                <w:sz w:val="24"/>
              </w:rPr>
              <w:t>Opis faktorov, ktoré mali vplyv na ukazovateľ finančnej páky počas obdobia, ktorého sa týka zverejnený ukazovateľ finančnej páky</w:t>
            </w:r>
          </w:p>
          <w:p w14:paraId="69E0A150" w14:textId="35F65C92"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Článok 451 ods. 1 písm. e) nariadenia (EÚ) </w:t>
            </w:r>
            <w:r w:rsidR="00E036ED">
              <w:rPr>
                <w:rFonts w:ascii="Times New Roman" w:hAnsi="Times New Roman"/>
                <w:sz w:val="24"/>
              </w:rPr>
              <w:t>č. </w:t>
            </w:r>
            <w:r w:rsidRPr="00E036ED">
              <w:rPr>
                <w:rFonts w:ascii="Times New Roman" w:hAnsi="Times New Roman"/>
                <w:sz w:val="24"/>
              </w:rPr>
              <w:t>575/2013.</w:t>
            </w:r>
          </w:p>
          <w:p w14:paraId="69E0A151" w14:textId="77777777" w:rsidR="00646595" w:rsidRPr="00E036ED"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036ED">
              <w:rPr>
                <w:rFonts w:ascii="Times New Roman" w:hAnsi="Times New Roman"/>
                <w:sz w:val="24"/>
              </w:rPr>
              <w:t>„Opis faktorov, ktoré mali vplyv na ukazovateľ finančnej páky počas obdobia, ktorého sa týka zverejnený ukazovateľ finančnej páky“ obsahuje akékoľvek významné informácie o:</w:t>
            </w:r>
          </w:p>
          <w:p w14:paraId="69E0A152" w14:textId="77777777" w:rsidR="00646595" w:rsidRPr="00E036ED"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 kvantifikácii zmeny ukazovateľa finančnej páky od predchádzajúceho referenčného dátumu zverejňovania;</w:t>
            </w:r>
          </w:p>
          <w:p w14:paraId="69E0A153" w14:textId="30022407" w:rsidR="00646595" w:rsidRPr="00E036ED"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E036ED">
              <w:rPr>
                <w:rFonts w:ascii="Times New Roman" w:hAnsi="Times New Roman"/>
                <w:sz w:val="24"/>
              </w:rPr>
              <w:t xml:space="preserve"> hlavných faktoroch ukazovateľa finančnej páky od predchádzajúceho referenčného dátumu zverejňovania</w:t>
            </w:r>
            <w:r w:rsidR="00E036ED">
              <w:rPr>
                <w:rFonts w:ascii="Times New Roman" w:hAnsi="Times New Roman"/>
                <w:sz w:val="24"/>
              </w:rPr>
              <w:t xml:space="preserve"> s </w:t>
            </w:r>
            <w:r w:rsidRPr="00E036ED">
              <w:rPr>
                <w:rFonts w:ascii="Times New Roman" w:hAnsi="Times New Roman"/>
                <w:sz w:val="24"/>
              </w:rPr>
              <w:t>vysvetľujúcimi poznámkami týkajúcimi sa:</w:t>
            </w:r>
          </w:p>
          <w:p w14:paraId="69E0A154" w14:textId="470264FD" w:rsidR="00646595" w:rsidRPr="00E036ED"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E036ED">
              <w:rPr>
                <w:rFonts w:ascii="Times New Roman" w:hAnsi="Times New Roman"/>
                <w:sz w:val="24"/>
              </w:rPr>
              <w:t>1. povahy zmeny</w:t>
            </w:r>
            <w:r w:rsidR="00E036ED">
              <w:rPr>
                <w:rFonts w:ascii="Times New Roman" w:hAnsi="Times New Roman"/>
                <w:sz w:val="24"/>
              </w:rPr>
              <w:t xml:space="preserve"> a </w:t>
            </w:r>
            <w:r w:rsidRPr="00E036ED">
              <w:rPr>
                <w:rFonts w:ascii="Times New Roman" w:hAnsi="Times New Roman"/>
                <w:sz w:val="24"/>
              </w:rPr>
              <w:t>toho, či išlo</w:t>
            </w:r>
            <w:r w:rsidR="00E036ED">
              <w:rPr>
                <w:rFonts w:ascii="Times New Roman" w:hAnsi="Times New Roman"/>
                <w:sz w:val="24"/>
              </w:rPr>
              <w:t xml:space="preserve"> o </w:t>
            </w:r>
            <w:r w:rsidRPr="00E036ED">
              <w:rPr>
                <w:rFonts w:ascii="Times New Roman" w:hAnsi="Times New Roman"/>
                <w:sz w:val="24"/>
              </w:rPr>
              <w:t>zmenu</w:t>
            </w:r>
            <w:r w:rsidR="00E036ED">
              <w:rPr>
                <w:rFonts w:ascii="Times New Roman" w:hAnsi="Times New Roman"/>
                <w:sz w:val="24"/>
              </w:rPr>
              <w:t xml:space="preserve"> v </w:t>
            </w:r>
            <w:r w:rsidRPr="00E036ED">
              <w:rPr>
                <w:rFonts w:ascii="Times New Roman" w:hAnsi="Times New Roman"/>
                <w:sz w:val="24"/>
              </w:rPr>
              <w:t>čitateli ukazovateľa, zmenu</w:t>
            </w:r>
            <w:r w:rsidR="00E036ED">
              <w:rPr>
                <w:rFonts w:ascii="Times New Roman" w:hAnsi="Times New Roman"/>
                <w:sz w:val="24"/>
              </w:rPr>
              <w:t xml:space="preserve"> v </w:t>
            </w:r>
            <w:r w:rsidRPr="00E036ED">
              <w:rPr>
                <w:rFonts w:ascii="Times New Roman" w:hAnsi="Times New Roman"/>
                <w:sz w:val="24"/>
              </w:rPr>
              <w:t>menovateli ukazovateľa alebo</w:t>
            </w:r>
            <w:r w:rsidR="00E036ED">
              <w:rPr>
                <w:rFonts w:ascii="Times New Roman" w:hAnsi="Times New Roman"/>
                <w:sz w:val="24"/>
              </w:rPr>
              <w:t xml:space="preserve"> o </w:t>
            </w:r>
            <w:r w:rsidRPr="00E036ED">
              <w:rPr>
                <w:rFonts w:ascii="Times New Roman" w:hAnsi="Times New Roman"/>
                <w:sz w:val="24"/>
              </w:rPr>
              <w:t>zmenu</w:t>
            </w:r>
            <w:r w:rsidR="00E036ED">
              <w:rPr>
                <w:rFonts w:ascii="Times New Roman" w:hAnsi="Times New Roman"/>
                <w:sz w:val="24"/>
              </w:rPr>
              <w:t xml:space="preserve"> v </w:t>
            </w:r>
            <w:r w:rsidRPr="00E036ED">
              <w:rPr>
                <w:rFonts w:ascii="Times New Roman" w:hAnsi="Times New Roman"/>
                <w:sz w:val="24"/>
              </w:rPr>
              <w:t>oboch,</w:t>
            </w:r>
          </w:p>
          <w:p w14:paraId="69E0A155" w14:textId="238F1176" w:rsidR="00646595" w:rsidRPr="00E036ED"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sidRPr="00E036ED">
              <w:rPr>
                <w:rFonts w:ascii="Times New Roman" w:hAnsi="Times New Roman"/>
                <w:sz w:val="24"/>
              </w:rPr>
              <w:t>2. toho, či bola zmena výsledkom interného strategického rozhodnutia,</w:t>
            </w:r>
            <w:r w:rsidR="00E036ED">
              <w:rPr>
                <w:rFonts w:ascii="Times New Roman" w:hAnsi="Times New Roman"/>
                <w:sz w:val="24"/>
              </w:rPr>
              <w:t xml:space="preserve"> a </w:t>
            </w:r>
            <w:r w:rsidRPr="00E036ED">
              <w:rPr>
                <w:rFonts w:ascii="Times New Roman" w:hAnsi="Times New Roman"/>
                <w:sz w:val="24"/>
              </w:rPr>
              <w:t>ak je to tak, či bolo toto strategické rozhodnutie zamerané priamo na ukazovateľ finančnej páky alebo či naň malo vplyv len nepriamo,</w:t>
            </w:r>
          </w:p>
          <w:p w14:paraId="69E0A156" w14:textId="35FD81B0" w:rsidR="00646595" w:rsidRPr="00E036ED"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E036ED">
              <w:rPr>
                <w:rFonts w:ascii="Times New Roman" w:hAnsi="Times New Roman"/>
                <w:sz w:val="24"/>
              </w:rPr>
              <w:t>3. najvýznamnejších vonkajších faktorov súvisiacich</w:t>
            </w:r>
            <w:r w:rsidR="00E036ED">
              <w:rPr>
                <w:rFonts w:ascii="Times New Roman" w:hAnsi="Times New Roman"/>
                <w:sz w:val="24"/>
              </w:rPr>
              <w:t xml:space="preserve"> s </w:t>
            </w:r>
            <w:r w:rsidRPr="00E036ED">
              <w:rPr>
                <w:rFonts w:ascii="Times New Roman" w:hAnsi="Times New Roman"/>
                <w:sz w:val="24"/>
              </w:rPr>
              <w:t>hospodárskym</w:t>
            </w:r>
            <w:r w:rsidR="00E036ED">
              <w:rPr>
                <w:rFonts w:ascii="Times New Roman" w:hAnsi="Times New Roman"/>
                <w:sz w:val="24"/>
              </w:rPr>
              <w:t xml:space="preserve"> a </w:t>
            </w:r>
            <w:r w:rsidRPr="00E036ED">
              <w:rPr>
                <w:rFonts w:ascii="Times New Roman" w:hAnsi="Times New Roman"/>
                <w:sz w:val="24"/>
              </w:rPr>
              <w:t>finančným prostredím, ktoré mali vplyv na ukazovateľ finančnej páky.</w:t>
            </w:r>
          </w:p>
        </w:tc>
      </w:tr>
    </w:tbl>
    <w:p w14:paraId="69E0A158" w14:textId="77777777" w:rsidR="004E3F4D" w:rsidRPr="00E036ED" w:rsidRDefault="004E3F4D">
      <w:pPr>
        <w:rPr>
          <w:rFonts w:ascii="Times New Roman" w:hAnsi="Times New Roman" w:cs="Times New Roman"/>
        </w:rPr>
      </w:pPr>
    </w:p>
    <w:sectPr w:rsidR="004E3F4D" w:rsidRPr="00E036ED">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C91C7" w14:textId="77777777" w:rsidR="00A860F2" w:rsidRDefault="00A860F2" w:rsidP="00646595">
      <w:r>
        <w:separator/>
      </w:r>
    </w:p>
  </w:endnote>
  <w:endnote w:type="continuationSeparator" w:id="0">
    <w:p w14:paraId="5428611C" w14:textId="77777777" w:rsidR="00A860F2" w:rsidRDefault="00A860F2" w:rsidP="00646595">
      <w:r>
        <w:continuationSeparator/>
      </w:r>
    </w:p>
  </w:endnote>
  <w:endnote w:type="continuationNotice" w:id="1">
    <w:p w14:paraId="39A871A7" w14:textId="77777777" w:rsidR="00A860F2" w:rsidRDefault="00A860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0D65" w14:textId="77777777" w:rsidR="00A860F2" w:rsidRDefault="00A860F2" w:rsidP="00646595">
      <w:r>
        <w:separator/>
      </w:r>
    </w:p>
  </w:footnote>
  <w:footnote w:type="continuationSeparator" w:id="0">
    <w:p w14:paraId="0EF50E22" w14:textId="77777777" w:rsidR="00A860F2" w:rsidRDefault="00A860F2" w:rsidP="00646595">
      <w:r>
        <w:continuationSeparator/>
      </w:r>
    </w:p>
  </w:footnote>
  <w:footnote w:type="continuationNotice" w:id="1">
    <w:p w14:paraId="33E48CC3" w14:textId="77777777" w:rsidR="00A860F2" w:rsidRDefault="00A860F2"/>
  </w:footnote>
  <w:footnote w:id="2">
    <w:p w14:paraId="69E0A164" w14:textId="24CAB105" w:rsidR="00646595" w:rsidRPr="00222AAB" w:rsidRDefault="00646595" w:rsidP="00646595">
      <w:pPr>
        <w:pStyle w:val="FootnoteText"/>
        <w:rPr>
          <w:rFonts w:cstheme="minorHAnsi"/>
        </w:rPr>
      </w:pPr>
      <w:r>
        <w:rPr>
          <w:rStyle w:val="FootnoteReference"/>
          <w:rFonts w:cstheme="minorHAnsi"/>
        </w:rPr>
        <w:footnoteRef/>
      </w:r>
      <w:r>
        <w:tab/>
        <w:t xml:space="preserve">Nariadenie Európskeho parlamentu a Rady (EÚ) č. 575/2013 z 26. júna 2013 o prudenciálnych požiadavkách na úverové inštitúcie a o zmene nariadenia (EÚ) č. 648/2012, zmenené nariadením (EÚ) 2024/1623 </w:t>
      </w:r>
      <w:r w:rsidR="00FC4E53">
        <w:t>[</w:t>
      </w:r>
      <w:hyperlink r:id="rId1" w:history="1">
        <w:r>
          <w:rPr>
            <w:rStyle w:val="Hyperlink"/>
            <w:color w:val="800080"/>
          </w:rPr>
          <w:t>Ú. v. EÚ L 176, 27.6.2013, s. 1</w:t>
        </w:r>
      </w:hyperlink>
      <w:r>
        <w:rPr>
          <w:color w:val="800080"/>
          <w:u w:val="single"/>
        </w:rPr>
        <w:t xml:space="preserve">; </w:t>
      </w:r>
      <w:hyperlink r:id="rId2" w:history="1">
        <w:r>
          <w:rPr>
            <w:rStyle w:val="Hyperlink"/>
          </w:rPr>
          <w:t>Nariadenie (EÚ) 2024/1623 – SK – EUR-Lex (europa.eu)</w:t>
        </w:r>
      </w:hyperlink>
      <w:r w:rsidR="00FC4E53">
        <w:rPr>
          <w:color w:val="444444"/>
          <w:lang w:val="en-IE"/>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Bežné použiti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0C2421A5"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r w:rsidR="00E036ED">
                            <w:rPr>
                              <w:rFonts w:ascii="Calibri" w:hAnsi="Calibri"/>
                              <w:color w:val="000000"/>
                              <w:sz w:val="24"/>
                            </w:rPr>
                            <w:t>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Bežné použiti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0C2421A5" w:rsidR="00076BB9" w:rsidRPr="00076BB9" w:rsidRDefault="00076BB9" w:rsidP="00076BB9">
                    <w:pPr>
                      <w:rPr>
                        <w:rFonts w:ascii="Calibri" w:eastAsia="Calibri" w:hAnsi="Calibri" w:cs="Calibri"/>
                        <w:noProof/>
                        <w:color w:val="000000"/>
                        <w:sz w:val="24"/>
                      </w:rPr>
                    </w:pPr>
                    <w:r>
                      <w:rPr>
                        <w:rFonts w:ascii="Calibri" w:hAnsi="Calibri"/>
                        <w:color w:val="000000"/>
                        <w:sz w:val="24"/>
                      </w:rPr>
                      <w:t xml:space="preserve">EBA </w:t>
                    </w:r>
                    <w:r w:rsidR="00E036ED">
                      <w:rPr>
                        <w:rFonts w:ascii="Calibri" w:hAnsi="Calibri"/>
                        <w:color w:val="000000"/>
                        <w:sz w:val="24"/>
                      </w:rPr>
                      <w:t>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Bežné použiti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FEB28F68"/>
    <w:lvl w:ilvl="0">
      <w:start w:val="1"/>
      <w:numFmt w:val="lowerLetter"/>
      <w:lvlText w:val="%1)"/>
      <w:lvlJc w:val="left"/>
      <w:rPr>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AD8A25C0"/>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0149C"/>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70F1C"/>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0F2"/>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36ED"/>
    <w:rsid w:val="00E0787F"/>
    <w:rsid w:val="00E30F99"/>
    <w:rsid w:val="00E43600"/>
    <w:rsid w:val="00E87CE2"/>
    <w:rsid w:val="00E9371F"/>
    <w:rsid w:val="00EC7785"/>
    <w:rsid w:val="00ED15FA"/>
    <w:rsid w:val="00FC4E53"/>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sk-S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sk-SK"/>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036ED"/>
    <w:rPr>
      <w:b/>
      <w:bCs/>
    </w:rPr>
  </w:style>
  <w:style w:type="character" w:customStyle="1" w:styleId="CommentSubjectChar">
    <w:name w:val="Comment Subject Char"/>
    <w:basedOn w:val="CommentTextChar"/>
    <w:link w:val="CommentSubject"/>
    <w:uiPriority w:val="99"/>
    <w:semiHidden/>
    <w:rsid w:val="00E036ED"/>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SK/TXT/?uri=OJ:L_202401623" TargetMode="External"/><Relationship Id="rId1" Type="http://schemas.openxmlformats.org/officeDocument/2006/relationships/hyperlink" Target="https://eur-lex.europa.eu/legal-content/SK/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D4CD4B89-F7E8-46F7-A0FF-C4258CF3DD95}"/>
</file>

<file path=customXml/itemProps3.xml><?xml version="1.0" encoding="utf-8"?>
<ds:datastoreItem xmlns:ds="http://schemas.openxmlformats.org/officeDocument/2006/customXml" ds:itemID="{82DF441B-BE1D-4EDF-B6BD-75F62BC66428}"/>
</file>

<file path=customXml/itemProps4.xml><?xml version="1.0" encoding="utf-8"?>
<ds:datastoreItem xmlns:ds="http://schemas.openxmlformats.org/officeDocument/2006/customXml" ds:itemID="{0D19E1BA-4AB0-4C88-B645-799C8AC437C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8518</Words>
  <Characters>49154</Characters>
  <Application>Microsoft Office Word</Application>
  <DocSecurity>0</DocSecurity>
  <Lines>1045</Lines>
  <Paragraphs>514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